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60" w:lineRule="exact"/>
        <w:rPr>
          <w:rFonts w:ascii="宋体" w:hAnsi="宋体" w:eastAsia="宋体" w:cs="Times New Roman"/>
          <w:b/>
          <w:bCs/>
          <w:color w:val="000000" w:themeColor="text1"/>
          <w:szCs w:val="21"/>
          <w14:textFill>
            <w14:solidFill>
              <w14:schemeClr w14:val="tx1"/>
            </w14:solidFill>
          </w14:textFill>
        </w:rPr>
      </w:pPr>
      <w:r>
        <w:rPr>
          <w:rFonts w:hint="eastAsia" w:ascii="宋体" w:hAnsi="宋体" w:eastAsia="宋体" w:cs="Times New Roman"/>
          <w:b/>
          <w:bCs/>
          <w:color w:val="000000" w:themeColor="text1"/>
          <w:szCs w:val="21"/>
          <w14:textFill>
            <w14:solidFill>
              <w14:schemeClr w14:val="tx1"/>
            </w14:solidFill>
          </w14:textFill>
        </w:rPr>
        <w:t>附件一</w:t>
      </w:r>
    </w:p>
    <w:p>
      <w:pPr>
        <w:spacing w:before="240" w:after="60" w:line="400" w:lineRule="exact"/>
        <w:jc w:val="center"/>
        <w:outlineLvl w:val="0"/>
        <w:rPr>
          <w:rFonts w:ascii="宋体" w:hAnsi="宋体" w:eastAsia="宋体" w:cs="Arial"/>
          <w:color w:val="000000" w:themeColor="text1"/>
          <w:kern w:val="0"/>
          <w:sz w:val="32"/>
          <w:szCs w:val="32"/>
          <w14:textFill>
            <w14:solidFill>
              <w14:schemeClr w14:val="tx1"/>
            </w14:solidFill>
          </w14:textFill>
        </w:rPr>
      </w:pPr>
      <w:bookmarkStart w:id="0" w:name="_Toc363487552"/>
      <w:bookmarkStart w:id="1" w:name="_Toc420497838"/>
      <w:r>
        <w:rPr>
          <w:rFonts w:hint="eastAsia" w:ascii="Arial" w:hAnsi="Arial" w:eastAsia="宋体" w:cs="Arial"/>
          <w:b/>
          <w:bCs/>
          <w:color w:val="000000" w:themeColor="text1"/>
          <w:kern w:val="0"/>
          <w:sz w:val="32"/>
          <w:szCs w:val="32"/>
          <w14:textFill>
            <w14:solidFill>
              <w14:schemeClr w14:val="tx1"/>
            </w14:solidFill>
          </w14:textFill>
        </w:rPr>
        <w:t xml:space="preserve">  采购内容及要求</w:t>
      </w:r>
      <w:bookmarkStart w:id="2" w:name="_Ref314676480"/>
      <w:bookmarkEnd w:id="2"/>
    </w:p>
    <w:p>
      <w:pPr>
        <w:spacing w:line="360" w:lineRule="auto"/>
        <w:ind w:firstLine="420" w:firstLineChars="200"/>
        <w:rPr>
          <w:rFonts w:asciiTheme="minorEastAsia" w:hAnsiTheme="minorEastAsia" w:cstheme="minorEastAsia"/>
          <w:color w:val="000000" w:themeColor="text1"/>
          <w:szCs w:val="21"/>
          <w14:textFill>
            <w14:solidFill>
              <w14:schemeClr w14:val="tx1"/>
            </w14:solidFill>
          </w14:textFill>
        </w:rPr>
      </w:pPr>
    </w:p>
    <w:p>
      <w:pPr>
        <w:spacing w:line="360" w:lineRule="auto"/>
        <w:ind w:firstLine="431" w:firstLineChars="196"/>
        <w:rPr>
          <w:rFonts w:ascii="宋体" w:hAnsi="宋体"/>
          <w:bCs/>
          <w:color w:val="000000" w:themeColor="text1"/>
          <w:sz w:val="22"/>
          <w14:textFill>
            <w14:solidFill>
              <w14:schemeClr w14:val="tx1"/>
            </w14:solidFill>
          </w14:textFill>
        </w:rPr>
      </w:pPr>
      <w:r>
        <w:rPr>
          <w:rFonts w:hint="eastAsia" w:ascii="宋体" w:hAnsi="宋体"/>
          <w:bCs/>
          <w:color w:val="000000" w:themeColor="text1"/>
          <w:sz w:val="22"/>
          <w14:textFill>
            <w14:solidFill>
              <w14:schemeClr w14:val="tx1"/>
            </w14:solidFill>
          </w14:textFill>
        </w:rPr>
        <w:t>1. 本项目为康居物业员工团体意外险在线询价。</w:t>
      </w:r>
    </w:p>
    <w:p>
      <w:pPr>
        <w:spacing w:line="360" w:lineRule="auto"/>
        <w:ind w:firstLine="431" w:firstLineChars="196"/>
        <w:rPr>
          <w:rFonts w:ascii="宋体" w:hAnsi="宋体"/>
          <w:bCs/>
          <w:color w:val="000000" w:themeColor="text1"/>
          <w:sz w:val="22"/>
          <w14:textFill>
            <w14:solidFill>
              <w14:schemeClr w14:val="tx1"/>
            </w14:solidFill>
          </w14:textFill>
        </w:rPr>
      </w:pPr>
      <w:r>
        <w:rPr>
          <w:rFonts w:hint="eastAsia" w:ascii="宋体" w:hAnsi="宋体"/>
          <w:bCs/>
          <w:color w:val="000000" w:themeColor="text1"/>
          <w:sz w:val="22"/>
          <w14:textFill>
            <w14:solidFill>
              <w14:schemeClr w14:val="tx1"/>
            </w14:solidFill>
          </w14:textFill>
        </w:rPr>
        <w:t>2. 投标人必须对项目内所有内容进行投标，不允许只对其中部分内容进行报价。</w:t>
      </w:r>
    </w:p>
    <w:p>
      <w:pPr>
        <w:spacing w:line="360" w:lineRule="auto"/>
        <w:ind w:firstLine="431" w:firstLineChars="196"/>
        <w:rPr>
          <w:rFonts w:ascii="宋体" w:hAnsi="宋体"/>
          <w:bCs/>
          <w:color w:val="000000" w:themeColor="text1"/>
          <w:sz w:val="22"/>
          <w14:textFill>
            <w14:solidFill>
              <w14:schemeClr w14:val="tx1"/>
            </w14:solidFill>
          </w14:textFill>
        </w:rPr>
      </w:pPr>
      <w:r>
        <w:rPr>
          <w:rFonts w:hint="eastAsia" w:ascii="宋体" w:hAnsi="宋体"/>
          <w:bCs/>
          <w:color w:val="000000" w:themeColor="text1"/>
          <w:sz w:val="22"/>
          <w14:textFill>
            <w14:solidFill>
              <w14:schemeClr w14:val="tx1"/>
            </w14:solidFill>
          </w14:textFill>
        </w:rPr>
        <w:t>3. 承保期限：一年.</w:t>
      </w:r>
    </w:p>
    <w:p>
      <w:pPr>
        <w:spacing w:line="360" w:lineRule="auto"/>
        <w:ind w:firstLine="431" w:firstLineChars="196"/>
        <w:rPr>
          <w:rFonts w:ascii="宋体" w:hAnsi="宋体"/>
          <w:bCs/>
          <w:color w:val="000000" w:themeColor="text1"/>
          <w:sz w:val="22"/>
          <w14:textFill>
            <w14:solidFill>
              <w14:schemeClr w14:val="tx1"/>
            </w14:solidFill>
          </w14:textFill>
        </w:rPr>
      </w:pPr>
      <w:r>
        <w:rPr>
          <w:rFonts w:hint="eastAsia" w:ascii="宋体" w:hAnsi="宋体"/>
          <w:bCs/>
          <w:color w:val="000000" w:themeColor="text1"/>
          <w:sz w:val="22"/>
          <w14:textFill>
            <w14:solidFill>
              <w14:schemeClr w14:val="tx1"/>
            </w14:solidFill>
          </w14:textFill>
        </w:rPr>
        <w:t xml:space="preserve">4.被保险人员：正式职工、临时工（16周岁（含）-75周岁（含））   </w:t>
      </w:r>
    </w:p>
    <w:p>
      <w:pPr>
        <w:spacing w:line="360" w:lineRule="auto"/>
        <w:ind w:firstLine="431" w:firstLineChars="196"/>
        <w:rPr>
          <w:rFonts w:ascii="宋体" w:hAnsi="宋体"/>
          <w:bCs/>
          <w:color w:val="000000" w:themeColor="text1"/>
          <w:sz w:val="22"/>
          <w14:textFill>
            <w14:solidFill>
              <w14:schemeClr w14:val="tx1"/>
            </w14:solidFill>
          </w14:textFill>
        </w:rPr>
      </w:pPr>
      <w:r>
        <w:rPr>
          <w:rFonts w:hint="eastAsia" w:ascii="宋体" w:hAnsi="宋体"/>
          <w:bCs/>
          <w:color w:val="000000" w:themeColor="text1"/>
          <w:sz w:val="22"/>
          <w14:textFill>
            <w14:solidFill>
              <w14:schemeClr w14:val="tx1"/>
            </w14:solidFill>
          </w14:textFill>
        </w:rPr>
        <w:t>5.保险内容：</w:t>
      </w:r>
    </w:p>
    <w:p>
      <w:pPr>
        <w:spacing w:line="360" w:lineRule="auto"/>
        <w:ind w:firstLine="431" w:firstLineChars="196"/>
        <w:rPr>
          <w:rFonts w:ascii="宋体" w:hAnsi="宋体" w:eastAsia="宋体" w:cs="Times New Roman"/>
          <w:bCs/>
          <w:color w:val="000000" w:themeColor="text1"/>
          <w:sz w:val="22"/>
          <w14:textFill>
            <w14:solidFill>
              <w14:schemeClr w14:val="tx1"/>
            </w14:solidFill>
          </w14:textFill>
        </w:rPr>
      </w:pPr>
      <w:r>
        <w:rPr>
          <w:rFonts w:hint="eastAsia" w:ascii="宋体" w:hAnsi="宋体" w:eastAsia="宋体" w:cs="Times New Roman"/>
          <w:bCs/>
          <w:color w:val="000000" w:themeColor="text1"/>
          <w:sz w:val="22"/>
          <w14:textFill>
            <w14:solidFill>
              <w14:schemeClr w14:val="tx1"/>
            </w14:solidFill>
          </w14:textFill>
        </w:rPr>
        <w:t>保障险种：团体意外伤害保险及附加意外医疗保险(扩展丙类)、附加突发急性病身故保险、附加意外住院津贴保险</w:t>
      </w:r>
    </w:p>
    <w:tbl>
      <w:tblPr>
        <w:tblStyle w:val="6"/>
        <w:tblW w:w="8880" w:type="dxa"/>
        <w:tblInd w:w="0" w:type="dxa"/>
        <w:tblLayout w:type="fixed"/>
        <w:tblCellMar>
          <w:top w:w="15" w:type="dxa"/>
          <w:left w:w="15" w:type="dxa"/>
          <w:bottom w:w="15" w:type="dxa"/>
          <w:right w:w="15" w:type="dxa"/>
        </w:tblCellMar>
      </w:tblPr>
      <w:tblGrid>
        <w:gridCol w:w="2970"/>
        <w:gridCol w:w="1543"/>
        <w:gridCol w:w="4367"/>
      </w:tblGrid>
      <w:tr>
        <w:tblPrEx>
          <w:tblCellMar>
            <w:top w:w="15" w:type="dxa"/>
            <w:left w:w="15" w:type="dxa"/>
            <w:bottom w:w="15" w:type="dxa"/>
            <w:right w:w="15" w:type="dxa"/>
          </w:tblCellMar>
        </w:tblPrEx>
        <w:trPr>
          <w:trHeight w:val="440" w:hRule="atLeast"/>
        </w:trPr>
        <w:tc>
          <w:tcPr>
            <w:tcW w:w="2970" w:type="dxa"/>
            <w:tcBorders>
              <w:top w:val="single" w:color="000000" w:sz="4" w:space="0"/>
              <w:left w:val="single" w:color="000000" w:sz="4" w:space="0"/>
              <w:bottom w:val="single" w:color="000000" w:sz="4" w:space="0"/>
              <w:right w:val="single" w:color="000000" w:sz="4" w:space="0"/>
            </w:tcBorders>
            <w:shd w:val="clear" w:color="auto" w:fill="DDEBF7"/>
            <w:vAlign w:val="center"/>
          </w:tcPr>
          <w:p>
            <w:pPr>
              <w:widowControl/>
              <w:jc w:val="left"/>
              <w:textAlignment w:val="center"/>
              <w:rPr>
                <w:rFonts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kern w:val="0"/>
                <w:szCs w:val="32"/>
                <w14:textFill>
                  <w14:solidFill>
                    <w14:schemeClr w14:val="tx1"/>
                  </w14:solidFill>
                </w14:textFill>
              </w:rPr>
              <w:t>保险责任</w:t>
            </w:r>
          </w:p>
        </w:tc>
        <w:tc>
          <w:tcPr>
            <w:tcW w:w="1543" w:type="dxa"/>
            <w:tcBorders>
              <w:top w:val="single" w:color="000000" w:sz="4" w:space="0"/>
              <w:left w:val="single" w:color="000000" w:sz="4" w:space="0"/>
              <w:bottom w:val="single" w:color="000000" w:sz="4" w:space="0"/>
              <w:right w:val="single" w:color="000000" w:sz="4" w:space="0"/>
            </w:tcBorders>
            <w:shd w:val="clear" w:color="auto" w:fill="DDEBF7"/>
            <w:vAlign w:val="center"/>
          </w:tcPr>
          <w:p>
            <w:pPr>
              <w:widowControl/>
              <w:jc w:val="left"/>
              <w:textAlignment w:val="center"/>
              <w:rPr>
                <w:rFonts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kern w:val="0"/>
                <w:szCs w:val="32"/>
                <w14:textFill>
                  <w14:solidFill>
                    <w14:schemeClr w14:val="tx1"/>
                  </w14:solidFill>
                </w14:textFill>
              </w:rPr>
              <w:t>保额/人</w:t>
            </w:r>
          </w:p>
        </w:tc>
        <w:tc>
          <w:tcPr>
            <w:tcW w:w="4367" w:type="dxa"/>
            <w:tcBorders>
              <w:top w:val="single" w:color="000000" w:sz="4" w:space="0"/>
              <w:left w:val="single" w:color="000000" w:sz="4" w:space="0"/>
              <w:bottom w:val="single" w:color="000000" w:sz="4" w:space="0"/>
              <w:right w:val="single" w:color="000000" w:sz="4" w:space="0"/>
            </w:tcBorders>
            <w:shd w:val="clear" w:color="auto" w:fill="DDEBF7"/>
            <w:vAlign w:val="center"/>
          </w:tcPr>
          <w:p>
            <w:pPr>
              <w:widowControl/>
              <w:jc w:val="left"/>
              <w:textAlignment w:val="center"/>
              <w:rPr>
                <w:rFonts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kern w:val="0"/>
                <w:szCs w:val="32"/>
                <w14:textFill>
                  <w14:solidFill>
                    <w14:schemeClr w14:val="tx1"/>
                  </w14:solidFill>
                </w14:textFill>
              </w:rPr>
              <w:t>说明</w:t>
            </w:r>
          </w:p>
        </w:tc>
      </w:tr>
      <w:tr>
        <w:tblPrEx>
          <w:tblCellMar>
            <w:top w:w="15" w:type="dxa"/>
            <w:left w:w="15" w:type="dxa"/>
            <w:bottom w:w="15" w:type="dxa"/>
            <w:right w:w="15" w:type="dxa"/>
          </w:tblCellMar>
        </w:tblPrEx>
        <w:trPr>
          <w:trHeight w:val="485" w:hRule="atLeast"/>
        </w:trPr>
        <w:tc>
          <w:tcPr>
            <w:tcW w:w="297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bCs/>
                <w:color w:val="000000" w:themeColor="text1"/>
                <w:sz w:val="22"/>
                <w14:textFill>
                  <w14:solidFill>
                    <w14:schemeClr w14:val="tx1"/>
                  </w14:solidFill>
                </w14:textFill>
              </w:rPr>
            </w:pPr>
            <w:r>
              <w:rPr>
                <w:rFonts w:hint="eastAsia" w:ascii="宋体" w:hAnsi="宋体" w:eastAsia="宋体"/>
                <w:bCs/>
                <w:color w:val="000000" w:themeColor="text1"/>
                <w:sz w:val="22"/>
                <w:lang w:val="en-US" w:eastAsia="zh-CN"/>
                <w14:textFill>
                  <w14:solidFill>
                    <w14:schemeClr w14:val="tx1"/>
                  </w14:solidFill>
                </w14:textFill>
              </w:rPr>
              <w:t>1</w:t>
            </w:r>
            <w:r>
              <w:rPr>
                <w:rFonts w:hint="eastAsia" w:ascii="宋体" w:hAnsi="宋体" w:eastAsia="宋体"/>
                <w:bCs/>
                <w:color w:val="000000" w:themeColor="text1"/>
                <w:sz w:val="22"/>
                <w14:textFill>
                  <w14:solidFill>
                    <w14:schemeClr w14:val="tx1"/>
                  </w14:solidFill>
                </w14:textFill>
              </w:rPr>
              <w:t>、意外身故/意外伤残</w:t>
            </w:r>
          </w:p>
        </w:tc>
        <w:tc>
          <w:tcPr>
            <w:tcW w:w="154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bCs/>
                <w:color w:val="000000" w:themeColor="text1"/>
                <w:sz w:val="22"/>
                <w14:textFill>
                  <w14:solidFill>
                    <w14:schemeClr w14:val="tx1"/>
                  </w14:solidFill>
                </w14:textFill>
              </w:rPr>
            </w:pPr>
            <w:r>
              <w:rPr>
                <w:rFonts w:hint="eastAsia" w:ascii="宋体" w:hAnsi="宋体" w:eastAsia="宋体"/>
                <w:bCs/>
                <w:color w:val="000000" w:themeColor="text1"/>
                <w:sz w:val="22"/>
                <w14:textFill>
                  <w14:solidFill>
                    <w14:schemeClr w14:val="tx1"/>
                  </w14:solidFill>
                </w14:textFill>
              </w:rPr>
              <w:t>1</w:t>
            </w:r>
            <w:r>
              <w:rPr>
                <w:rFonts w:hint="eastAsia" w:ascii="宋体" w:hAnsi="宋体" w:eastAsia="宋体"/>
                <w:bCs/>
                <w:color w:val="000000" w:themeColor="text1"/>
                <w:sz w:val="22"/>
                <w:lang w:val="en-US" w:eastAsia="zh-CN"/>
                <w14:textFill>
                  <w14:solidFill>
                    <w14:schemeClr w14:val="tx1"/>
                  </w14:solidFill>
                </w14:textFill>
              </w:rPr>
              <w:t>2</w:t>
            </w:r>
            <w:r>
              <w:rPr>
                <w:rFonts w:hint="eastAsia" w:ascii="宋体" w:hAnsi="宋体" w:eastAsia="宋体"/>
                <w:bCs/>
                <w:color w:val="000000" w:themeColor="text1"/>
                <w:sz w:val="22"/>
                <w14:textFill>
                  <w14:solidFill>
                    <w14:schemeClr w14:val="tx1"/>
                  </w14:solidFill>
                </w14:textFill>
              </w:rPr>
              <w:t>0000元</w:t>
            </w:r>
          </w:p>
        </w:tc>
        <w:tc>
          <w:tcPr>
            <w:tcW w:w="436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rPr>
                <w:rFonts w:ascii="宋体" w:hAnsi="宋体" w:eastAsia="宋体"/>
                <w:bCs/>
                <w:color w:val="000000" w:themeColor="text1"/>
                <w:sz w:val="22"/>
                <w14:textFill>
                  <w14:solidFill>
                    <w14:schemeClr w14:val="tx1"/>
                  </w14:solidFill>
                </w14:textFill>
              </w:rPr>
            </w:pPr>
            <w:r>
              <w:rPr>
                <w:rFonts w:hint="eastAsia" w:ascii="宋体" w:hAnsi="宋体" w:eastAsia="宋体" w:cs="宋体"/>
                <w:color w:val="000000"/>
                <w:kern w:val="0"/>
                <w:sz w:val="22"/>
                <w:szCs w:val="22"/>
                <w:lang w:val="en-US" w:eastAsia="zh-CN" w:bidi="ar"/>
              </w:rPr>
              <w:t>意外残疾参照行业标准 1-10 级 281 项比例给付， 意外伤害与意外残疾保额共用</w:t>
            </w:r>
          </w:p>
        </w:tc>
      </w:tr>
      <w:tr>
        <w:tblPrEx>
          <w:tblCellMar>
            <w:top w:w="15" w:type="dxa"/>
            <w:left w:w="15" w:type="dxa"/>
            <w:bottom w:w="15" w:type="dxa"/>
            <w:right w:w="15" w:type="dxa"/>
          </w:tblCellMar>
        </w:tblPrEx>
        <w:trPr>
          <w:trHeight w:val="570" w:hRule="atLeast"/>
        </w:trPr>
        <w:tc>
          <w:tcPr>
            <w:tcW w:w="297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bCs/>
                <w:color w:val="000000" w:themeColor="text1"/>
                <w:sz w:val="22"/>
                <w14:textFill>
                  <w14:solidFill>
                    <w14:schemeClr w14:val="tx1"/>
                  </w14:solidFill>
                </w14:textFill>
              </w:rPr>
            </w:pPr>
            <w:r>
              <w:rPr>
                <w:rFonts w:hint="eastAsia" w:ascii="宋体" w:hAnsi="宋体" w:eastAsia="宋体"/>
                <w:bCs/>
                <w:color w:val="000000" w:themeColor="text1"/>
                <w:sz w:val="22"/>
                <w:lang w:val="en-US" w:eastAsia="zh-CN"/>
                <w14:textFill>
                  <w14:solidFill>
                    <w14:schemeClr w14:val="tx1"/>
                  </w14:solidFill>
                </w14:textFill>
              </w:rPr>
              <w:t>2</w:t>
            </w:r>
            <w:r>
              <w:rPr>
                <w:rFonts w:hint="eastAsia" w:ascii="宋体" w:hAnsi="宋体" w:eastAsia="宋体"/>
                <w:bCs/>
                <w:color w:val="000000" w:themeColor="text1"/>
                <w:sz w:val="22"/>
                <w14:textFill>
                  <w14:solidFill>
                    <w14:schemeClr w14:val="tx1"/>
                  </w14:solidFill>
                </w14:textFill>
              </w:rPr>
              <w:t>、突发急性病身故</w:t>
            </w:r>
          </w:p>
        </w:tc>
        <w:tc>
          <w:tcPr>
            <w:tcW w:w="154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bCs/>
                <w:color w:val="000000" w:themeColor="text1"/>
                <w:sz w:val="22"/>
                <w14:textFill>
                  <w14:solidFill>
                    <w14:schemeClr w14:val="tx1"/>
                  </w14:solidFill>
                </w14:textFill>
              </w:rPr>
            </w:pPr>
            <w:r>
              <w:rPr>
                <w:rFonts w:hint="eastAsia" w:ascii="宋体" w:hAnsi="宋体" w:eastAsia="宋体"/>
                <w:bCs/>
                <w:color w:val="000000" w:themeColor="text1"/>
                <w:sz w:val="22"/>
                <w14:textFill>
                  <w14:solidFill>
                    <w14:schemeClr w14:val="tx1"/>
                  </w14:solidFill>
                </w14:textFill>
              </w:rPr>
              <w:t>30000元</w:t>
            </w:r>
          </w:p>
        </w:tc>
        <w:tc>
          <w:tcPr>
            <w:tcW w:w="4367"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rPr>
                <w:rFonts w:ascii="宋体" w:hAnsi="宋体" w:eastAsia="宋体"/>
                <w:bCs/>
                <w:color w:val="000000" w:themeColor="text1"/>
                <w:sz w:val="22"/>
                <w14:textFill>
                  <w14:solidFill>
                    <w14:schemeClr w14:val="tx1"/>
                  </w14:solidFill>
                </w14:textFill>
              </w:rPr>
            </w:pPr>
            <w:r>
              <w:rPr>
                <w:rFonts w:hint="eastAsia" w:ascii="宋体" w:hAnsi="宋体" w:eastAsia="宋体" w:cs="宋体"/>
                <w:color w:val="000000"/>
                <w:kern w:val="0"/>
                <w:sz w:val="22"/>
                <w:szCs w:val="22"/>
                <w:lang w:val="en-US" w:eastAsia="zh-CN" w:bidi="ar"/>
              </w:rPr>
              <w:t>急性病发病之日起 10 天内抢救无效身故</w:t>
            </w:r>
          </w:p>
        </w:tc>
      </w:tr>
      <w:tr>
        <w:tblPrEx>
          <w:tblCellMar>
            <w:top w:w="15" w:type="dxa"/>
            <w:left w:w="15" w:type="dxa"/>
            <w:bottom w:w="15" w:type="dxa"/>
            <w:right w:w="15" w:type="dxa"/>
          </w:tblCellMar>
        </w:tblPrEx>
        <w:trPr>
          <w:trHeight w:val="425" w:hRule="atLeast"/>
        </w:trPr>
        <w:tc>
          <w:tcPr>
            <w:tcW w:w="297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bCs/>
                <w:color w:val="000000" w:themeColor="text1"/>
                <w:sz w:val="22"/>
                <w14:textFill>
                  <w14:solidFill>
                    <w14:schemeClr w14:val="tx1"/>
                  </w14:solidFill>
                </w14:textFill>
              </w:rPr>
            </w:pPr>
            <w:r>
              <w:rPr>
                <w:rFonts w:hint="eastAsia" w:ascii="宋体" w:hAnsi="宋体" w:eastAsia="宋体"/>
                <w:bCs/>
                <w:color w:val="000000" w:themeColor="text1"/>
                <w:sz w:val="22"/>
                <w:lang w:val="en-US" w:eastAsia="zh-CN"/>
                <w14:textFill>
                  <w14:solidFill>
                    <w14:schemeClr w14:val="tx1"/>
                  </w14:solidFill>
                </w14:textFill>
              </w:rPr>
              <w:t>3</w:t>
            </w:r>
            <w:r>
              <w:rPr>
                <w:rFonts w:hint="eastAsia" w:ascii="宋体" w:hAnsi="宋体" w:eastAsia="宋体"/>
                <w:bCs/>
                <w:color w:val="000000" w:themeColor="text1"/>
                <w:sz w:val="22"/>
                <w14:textFill>
                  <w14:solidFill>
                    <w14:schemeClr w14:val="tx1"/>
                  </w14:solidFill>
                </w14:textFill>
              </w:rPr>
              <w:t>、意外医疗</w:t>
            </w:r>
          </w:p>
        </w:tc>
        <w:tc>
          <w:tcPr>
            <w:tcW w:w="154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bCs/>
                <w:color w:val="000000" w:themeColor="text1"/>
                <w:sz w:val="22"/>
                <w14:textFill>
                  <w14:solidFill>
                    <w14:schemeClr w14:val="tx1"/>
                  </w14:solidFill>
                </w14:textFill>
              </w:rPr>
            </w:pPr>
            <w:r>
              <w:rPr>
                <w:rFonts w:hint="eastAsia" w:ascii="宋体" w:hAnsi="宋体" w:eastAsia="宋体"/>
                <w:bCs/>
                <w:color w:val="000000" w:themeColor="text1"/>
                <w:sz w:val="22"/>
                <w14:textFill>
                  <w14:solidFill>
                    <w14:schemeClr w14:val="tx1"/>
                  </w14:solidFill>
                </w14:textFill>
              </w:rPr>
              <w:t>10000元</w:t>
            </w:r>
          </w:p>
        </w:tc>
        <w:tc>
          <w:tcPr>
            <w:tcW w:w="43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bCs/>
                <w:color w:val="000000" w:themeColor="text1"/>
                <w:sz w:val="22"/>
                <w14:textFill>
                  <w14:solidFill>
                    <w14:schemeClr w14:val="tx1"/>
                  </w14:solidFill>
                </w14:textFill>
              </w:rPr>
            </w:pPr>
            <w:r>
              <w:rPr>
                <w:rFonts w:hint="eastAsia" w:ascii="宋体" w:hAnsi="宋体" w:eastAsia="宋体"/>
                <w:bCs/>
                <w:color w:val="000000" w:themeColor="text1"/>
                <w:sz w:val="22"/>
                <w14:textFill>
                  <w14:solidFill>
                    <w14:schemeClr w14:val="tx1"/>
                  </w14:solidFill>
                </w14:textFill>
              </w:rPr>
              <w:t>经过社保后 0 免赔，100%赔付；未经社保 50 免赔，100%赔付（含社会基本医疗保险目录中乙类、丙类及其他自费部分费用）</w:t>
            </w:r>
          </w:p>
        </w:tc>
      </w:tr>
      <w:tr>
        <w:tblPrEx>
          <w:tblCellMar>
            <w:top w:w="15" w:type="dxa"/>
            <w:left w:w="15" w:type="dxa"/>
            <w:bottom w:w="15" w:type="dxa"/>
            <w:right w:w="15" w:type="dxa"/>
          </w:tblCellMar>
        </w:tblPrEx>
        <w:trPr>
          <w:trHeight w:val="654" w:hRule="atLeast"/>
        </w:trPr>
        <w:tc>
          <w:tcPr>
            <w:tcW w:w="297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bCs/>
                <w:color w:val="000000" w:themeColor="text1"/>
                <w:sz w:val="22"/>
                <w14:textFill>
                  <w14:solidFill>
                    <w14:schemeClr w14:val="tx1"/>
                  </w14:solidFill>
                </w14:textFill>
              </w:rPr>
            </w:pPr>
            <w:r>
              <w:rPr>
                <w:rFonts w:hint="eastAsia" w:ascii="宋体" w:hAnsi="宋体" w:eastAsia="宋体"/>
                <w:bCs/>
                <w:color w:val="000000" w:themeColor="text1"/>
                <w:sz w:val="22"/>
                <w:lang w:val="en-US" w:eastAsia="zh-CN"/>
                <w14:textFill>
                  <w14:solidFill>
                    <w14:schemeClr w14:val="tx1"/>
                  </w14:solidFill>
                </w14:textFill>
              </w:rPr>
              <w:t>4</w:t>
            </w:r>
            <w:r>
              <w:rPr>
                <w:rFonts w:hint="eastAsia" w:ascii="宋体" w:hAnsi="宋体" w:eastAsia="宋体"/>
                <w:bCs/>
                <w:color w:val="000000" w:themeColor="text1"/>
                <w:sz w:val="22"/>
                <w14:textFill>
                  <w14:solidFill>
                    <w14:schemeClr w14:val="tx1"/>
                  </w14:solidFill>
                </w14:textFill>
              </w:rPr>
              <w:t>、意外住院津贴</w:t>
            </w:r>
          </w:p>
        </w:tc>
        <w:tc>
          <w:tcPr>
            <w:tcW w:w="154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bCs/>
                <w:color w:val="000000" w:themeColor="text1"/>
                <w:sz w:val="22"/>
                <w14:textFill>
                  <w14:solidFill>
                    <w14:schemeClr w14:val="tx1"/>
                  </w14:solidFill>
                </w14:textFill>
              </w:rPr>
            </w:pPr>
            <w:r>
              <w:rPr>
                <w:rFonts w:hint="eastAsia" w:ascii="宋体" w:hAnsi="宋体" w:eastAsia="宋体"/>
                <w:bCs/>
                <w:color w:val="000000" w:themeColor="text1"/>
                <w:sz w:val="22"/>
                <w14:textFill>
                  <w14:solidFill>
                    <w14:schemeClr w14:val="tx1"/>
                  </w14:solidFill>
                </w14:textFill>
              </w:rPr>
              <w:t>50元/天</w:t>
            </w:r>
          </w:p>
        </w:tc>
        <w:tc>
          <w:tcPr>
            <w:tcW w:w="4367"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bCs/>
                <w:color w:val="000000" w:themeColor="text1"/>
                <w:sz w:val="22"/>
                <w:lang w:eastAsia="zh-CN"/>
                <w14:textFill>
                  <w14:solidFill>
                    <w14:schemeClr w14:val="tx1"/>
                  </w14:solidFill>
                </w14:textFill>
              </w:rPr>
            </w:pPr>
            <w:r>
              <w:rPr>
                <w:rFonts w:hint="eastAsia" w:ascii="宋体" w:hAnsi="宋体" w:eastAsia="宋体"/>
                <w:bCs/>
                <w:color w:val="000000" w:themeColor="text1"/>
                <w:sz w:val="22"/>
                <w14:textFill>
                  <w14:solidFill>
                    <w14:schemeClr w14:val="tx1"/>
                  </w14:solidFill>
                </w14:textFill>
              </w:rPr>
              <w:t xml:space="preserve"> 最高180天，含重症监护病房津贴责任，最高30天</w:t>
            </w:r>
            <w:r>
              <w:rPr>
                <w:rFonts w:hint="eastAsia" w:ascii="宋体" w:hAnsi="宋体" w:eastAsia="宋体"/>
                <w:bCs/>
                <w:color w:val="000000" w:themeColor="text1"/>
                <w:sz w:val="22"/>
                <w:lang w:eastAsia="zh-CN"/>
                <w14:textFill>
                  <w14:solidFill>
                    <w14:schemeClr w14:val="tx1"/>
                  </w14:solidFill>
                </w14:textFill>
              </w:rPr>
              <w:t>。</w:t>
            </w:r>
          </w:p>
        </w:tc>
      </w:tr>
      <w:tr>
        <w:tblPrEx>
          <w:tblCellMar>
            <w:top w:w="15" w:type="dxa"/>
            <w:left w:w="15" w:type="dxa"/>
            <w:bottom w:w="15" w:type="dxa"/>
            <w:right w:w="15" w:type="dxa"/>
          </w:tblCellMar>
        </w:tblPrEx>
        <w:trPr>
          <w:trHeight w:val="1104" w:hRule="atLeast"/>
        </w:trPr>
        <w:tc>
          <w:tcPr>
            <w:tcW w:w="8880" w:type="dxa"/>
            <w:gridSpan w:val="3"/>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bCs/>
                <w:color w:val="000000" w:themeColor="text1"/>
                <w:sz w:val="22"/>
                <w14:textFill>
                  <w14:solidFill>
                    <w14:schemeClr w14:val="tx1"/>
                  </w14:solidFill>
                </w14:textFill>
              </w:rPr>
              <w:t>意外残疾参照行业标准，以《人身保险伤残评定标准》为鉴定标准；</w:t>
            </w:r>
            <w:r>
              <w:rPr>
                <w:rFonts w:hint="eastAsia" w:ascii="宋体" w:hAnsi="宋体" w:eastAsia="宋体"/>
                <w:bCs/>
                <w:color w:val="000000" w:themeColor="text1"/>
                <w:sz w:val="22"/>
                <w14:textFill>
                  <w14:solidFill>
                    <w14:schemeClr w14:val="tx1"/>
                  </w14:solidFill>
                </w14:textFill>
              </w:rPr>
              <w:br w:type="textWrapping"/>
            </w:r>
            <w:r>
              <w:rPr>
                <w:rFonts w:hint="eastAsia" w:ascii="宋体" w:hAnsi="宋体" w:eastAsia="宋体"/>
                <w:bCs/>
                <w:color w:val="000000" w:themeColor="text1"/>
                <w:sz w:val="22"/>
                <w14:textFill>
                  <w14:solidFill>
                    <w14:schemeClr w14:val="tx1"/>
                  </w14:solidFill>
                </w14:textFill>
              </w:rPr>
              <w:t>给付比例1-10级依次为保额的100% 90% 80% 70% 60% 50% 40% 30% 20% 10%</w:t>
            </w:r>
          </w:p>
        </w:tc>
      </w:tr>
    </w:tbl>
    <w:p>
      <w:pPr>
        <w:spacing w:line="360" w:lineRule="auto"/>
        <w:ind w:firstLine="431" w:firstLineChars="196"/>
        <w:rPr>
          <w:rFonts w:ascii="宋体" w:hAnsi="宋体"/>
          <w:bCs/>
          <w:color w:val="000000" w:themeColor="text1"/>
          <w:sz w:val="22"/>
          <w14:textFill>
            <w14:solidFill>
              <w14:schemeClr w14:val="tx1"/>
            </w14:solidFill>
          </w14:textFill>
        </w:rPr>
      </w:pPr>
      <w:r>
        <w:rPr>
          <w:rFonts w:hint="eastAsia" w:ascii="宋体" w:hAnsi="宋体" w:eastAsia="宋体" w:cs="Times New Roman"/>
          <w:bCs/>
          <w:color w:val="000000" w:themeColor="text1"/>
          <w:sz w:val="22"/>
          <w14:textFill>
            <w14:solidFill>
              <w14:schemeClr w14:val="tx1"/>
            </w14:solidFill>
          </w14:textFill>
        </w:rPr>
        <w:t>员工职业：（1-4类）行政、厨师、清洁、车管、绿化养护、管理、监控、保安、电工</w:t>
      </w:r>
      <w:r>
        <w:rPr>
          <w:rFonts w:hint="eastAsia" w:ascii="宋体" w:hAnsi="宋体"/>
          <w:bCs/>
          <w:color w:val="000000" w:themeColor="text1"/>
          <w:sz w:val="22"/>
          <w14:textFill>
            <w14:solidFill>
              <w14:schemeClr w14:val="tx1"/>
            </w14:solidFill>
          </w14:textFill>
        </w:rPr>
        <w:t>。</w:t>
      </w:r>
    </w:p>
    <w:p>
      <w:pPr>
        <w:spacing w:line="360" w:lineRule="auto"/>
        <w:ind w:firstLine="433" w:firstLineChars="196"/>
        <w:rPr>
          <w:rFonts w:ascii="宋体" w:hAnsi="宋体"/>
          <w:b/>
          <w:color w:val="000000" w:themeColor="text1"/>
          <w:sz w:val="22"/>
          <w14:textFill>
            <w14:solidFill>
              <w14:schemeClr w14:val="tx1"/>
            </w14:solidFill>
          </w14:textFill>
        </w:rPr>
      </w:pPr>
      <w:r>
        <w:rPr>
          <w:rFonts w:hint="eastAsia" w:ascii="宋体" w:hAnsi="宋体"/>
          <w:b/>
          <w:color w:val="000000" w:themeColor="text1"/>
          <w:sz w:val="22"/>
          <w14:textFill>
            <w14:solidFill>
              <w14:schemeClr w14:val="tx1"/>
            </w14:solidFill>
          </w14:textFill>
        </w:rPr>
        <w:t>6.理赔服务</w:t>
      </w:r>
    </w:p>
    <w:p>
      <w:pPr>
        <w:spacing w:line="360" w:lineRule="auto"/>
        <w:ind w:firstLine="431" w:firstLineChars="196"/>
        <w:rPr>
          <w:rFonts w:ascii="宋体" w:hAnsi="宋体"/>
          <w:bCs/>
          <w:color w:val="000000" w:themeColor="text1"/>
          <w:sz w:val="22"/>
          <w14:textFill>
            <w14:solidFill>
              <w14:schemeClr w14:val="tx1"/>
            </w14:solidFill>
          </w14:textFill>
        </w:rPr>
      </w:pPr>
      <w:r>
        <w:rPr>
          <w:rFonts w:hint="eastAsia" w:ascii="宋体" w:hAnsi="宋体"/>
          <w:bCs/>
          <w:color w:val="000000" w:themeColor="text1"/>
          <w:sz w:val="22"/>
          <w14:textFill>
            <w14:solidFill>
              <w14:schemeClr w14:val="tx1"/>
            </w14:solidFill>
          </w14:textFill>
        </w:rPr>
        <w:t>6.1发生保险事故后，乙方应在接到甲方电话或书面通知后给予理赔慰问，指导办理理赔。</w:t>
      </w:r>
    </w:p>
    <w:p>
      <w:pPr>
        <w:spacing w:line="360" w:lineRule="auto"/>
        <w:ind w:firstLine="431" w:firstLineChars="196"/>
        <w:rPr>
          <w:rFonts w:ascii="宋体" w:hAnsi="宋体"/>
          <w:bCs/>
          <w:color w:val="000000" w:themeColor="text1"/>
          <w:sz w:val="22"/>
          <w14:textFill>
            <w14:solidFill>
              <w14:schemeClr w14:val="tx1"/>
            </w14:solidFill>
          </w14:textFill>
        </w:rPr>
      </w:pPr>
      <w:r>
        <w:rPr>
          <w:rFonts w:hint="eastAsia" w:ascii="宋体" w:hAnsi="宋体"/>
          <w:bCs/>
          <w:color w:val="000000" w:themeColor="text1"/>
          <w:sz w:val="22"/>
          <w14:textFill>
            <w14:solidFill>
              <w14:schemeClr w14:val="tx1"/>
            </w14:solidFill>
          </w14:textFill>
        </w:rPr>
        <w:t>6.2乙方在与甲方共同进行初步查验后，形成事故问询记录并由甲方或甲方员工签字确认，作为理赔资料使用。</w:t>
      </w:r>
    </w:p>
    <w:p>
      <w:pPr>
        <w:spacing w:line="360" w:lineRule="auto"/>
        <w:ind w:firstLine="433" w:firstLineChars="196"/>
        <w:rPr>
          <w:rFonts w:ascii="宋体" w:hAnsi="宋体"/>
          <w:b/>
          <w:color w:val="000000" w:themeColor="text1"/>
          <w:sz w:val="22"/>
          <w14:textFill>
            <w14:solidFill>
              <w14:schemeClr w14:val="tx1"/>
            </w14:solidFill>
          </w14:textFill>
        </w:rPr>
      </w:pPr>
      <w:r>
        <w:rPr>
          <w:rFonts w:hint="eastAsia" w:ascii="宋体" w:hAnsi="宋体"/>
          <w:b/>
          <w:color w:val="000000" w:themeColor="text1"/>
          <w:sz w:val="22"/>
          <w14:textFill>
            <w14:solidFill>
              <w14:schemeClr w14:val="tx1"/>
            </w14:solidFill>
          </w14:textFill>
        </w:rPr>
        <w:t>7、取证鉴定和定损</w:t>
      </w:r>
    </w:p>
    <w:p>
      <w:pPr>
        <w:spacing w:line="360" w:lineRule="auto"/>
        <w:ind w:firstLine="431" w:firstLineChars="196"/>
        <w:rPr>
          <w:rFonts w:ascii="宋体" w:hAnsi="宋体"/>
          <w:bCs/>
          <w:color w:val="000000" w:themeColor="text1"/>
          <w:sz w:val="22"/>
          <w14:textFill>
            <w14:solidFill>
              <w14:schemeClr w14:val="tx1"/>
            </w14:solidFill>
          </w14:textFill>
        </w:rPr>
      </w:pPr>
      <w:r>
        <w:rPr>
          <w:rFonts w:hint="eastAsia" w:ascii="宋体" w:hAnsi="宋体"/>
          <w:bCs/>
          <w:color w:val="000000" w:themeColor="text1"/>
          <w:sz w:val="22"/>
          <w14:textFill>
            <w14:solidFill>
              <w14:schemeClr w14:val="tx1"/>
            </w14:solidFill>
          </w14:textFill>
        </w:rPr>
        <w:t>A、 甲方根据乙方的合理要求准备各项单证。</w:t>
      </w:r>
    </w:p>
    <w:p>
      <w:pPr>
        <w:spacing w:line="360" w:lineRule="auto"/>
        <w:ind w:firstLine="431" w:firstLineChars="196"/>
        <w:rPr>
          <w:rFonts w:ascii="宋体" w:hAnsi="宋体"/>
          <w:bCs/>
          <w:color w:val="000000" w:themeColor="text1"/>
          <w:sz w:val="22"/>
          <w14:textFill>
            <w14:solidFill>
              <w14:schemeClr w14:val="tx1"/>
            </w14:solidFill>
          </w14:textFill>
        </w:rPr>
      </w:pPr>
      <w:r>
        <w:rPr>
          <w:rFonts w:hint="eastAsia" w:ascii="宋体" w:hAnsi="宋体"/>
          <w:bCs/>
          <w:color w:val="000000" w:themeColor="text1"/>
          <w:sz w:val="22"/>
          <w14:textFill>
            <w14:solidFill>
              <w14:schemeClr w14:val="tx1"/>
            </w14:solidFill>
          </w14:textFill>
        </w:rPr>
        <w:t>B、 对于保险事故是否属于保险责任范围较难确定或双方对保险责任有严重分歧时，由双方协商决定聘请评估机构做最后鉴定。鉴定费用由责任方承担。</w:t>
      </w:r>
    </w:p>
    <w:p>
      <w:pPr>
        <w:spacing w:line="360" w:lineRule="auto"/>
        <w:ind w:firstLine="431" w:firstLineChars="196"/>
        <w:rPr>
          <w:rFonts w:ascii="宋体" w:hAnsi="宋体"/>
          <w:bCs/>
          <w:color w:val="000000" w:themeColor="text1"/>
          <w:sz w:val="22"/>
          <w14:textFill>
            <w14:solidFill>
              <w14:schemeClr w14:val="tx1"/>
            </w14:solidFill>
          </w14:textFill>
        </w:rPr>
      </w:pPr>
      <w:r>
        <w:rPr>
          <w:rFonts w:hint="eastAsia" w:ascii="宋体" w:hAnsi="宋体"/>
          <w:bCs/>
          <w:color w:val="000000" w:themeColor="text1"/>
          <w:sz w:val="22"/>
          <w14:textFill>
            <w14:solidFill>
              <w14:schemeClr w14:val="tx1"/>
            </w14:solidFill>
          </w14:textFill>
        </w:rPr>
        <w:t>C、乙方在接到甲方的索赔单证后，应填写索赔单证签收单，并且必须在5个工作日内一次性提出索赔单证是否齐全；如果不齐全，在以后的理赔处理中，乙方可以根据甲方提供了齐全的索赔单证的时间对理赔期限作相应的调整。但乙方最多只能两次提出要求甲方补齐索赔单证。如果在五个工作日内未提出异议，在以后的理赔处理中，就不能以索赔单证不齐全而提出拒赔或要求延长理赔期限。</w:t>
      </w:r>
    </w:p>
    <w:p>
      <w:pPr>
        <w:spacing w:line="360" w:lineRule="auto"/>
        <w:ind w:firstLine="431" w:firstLineChars="196"/>
        <w:rPr>
          <w:rFonts w:ascii="宋体" w:hAnsi="宋体"/>
          <w:bCs/>
          <w:color w:val="000000" w:themeColor="text1"/>
          <w:sz w:val="22"/>
          <w14:textFill>
            <w14:solidFill>
              <w14:schemeClr w14:val="tx1"/>
            </w14:solidFill>
          </w14:textFill>
        </w:rPr>
      </w:pPr>
      <w:r>
        <w:rPr>
          <w:rFonts w:hint="eastAsia" w:ascii="宋体" w:hAnsi="宋体"/>
          <w:bCs/>
          <w:color w:val="000000" w:themeColor="text1"/>
          <w:sz w:val="22"/>
          <w14:textFill>
            <w14:solidFill>
              <w14:schemeClr w14:val="tx1"/>
            </w14:solidFill>
          </w14:textFill>
        </w:rPr>
        <w:t>D、支付赔款后，如乙方有需求，甲方需提供理赔批单说明赔付金额。</w:t>
      </w:r>
    </w:p>
    <w:p>
      <w:pPr>
        <w:spacing w:line="360" w:lineRule="auto"/>
        <w:ind w:firstLine="433" w:firstLineChars="196"/>
        <w:rPr>
          <w:rFonts w:ascii="宋体" w:hAnsi="宋体"/>
          <w:b/>
          <w:color w:val="000000" w:themeColor="text1"/>
          <w:sz w:val="22"/>
          <w14:textFill>
            <w14:solidFill>
              <w14:schemeClr w14:val="tx1"/>
            </w14:solidFill>
          </w14:textFill>
        </w:rPr>
      </w:pPr>
      <w:r>
        <w:rPr>
          <w:rFonts w:hint="eastAsia" w:ascii="宋体" w:hAnsi="宋体"/>
          <w:b/>
          <w:color w:val="000000" w:themeColor="text1"/>
          <w:sz w:val="22"/>
          <w14:textFill>
            <w14:solidFill>
              <w14:schemeClr w14:val="tx1"/>
            </w14:solidFill>
          </w14:textFill>
        </w:rPr>
        <w:t>8、理赔期限</w:t>
      </w:r>
    </w:p>
    <w:p>
      <w:pPr>
        <w:spacing w:line="360" w:lineRule="auto"/>
        <w:ind w:firstLine="431" w:firstLineChars="196"/>
        <w:rPr>
          <w:rFonts w:ascii="宋体" w:hAnsi="宋体"/>
          <w:bCs/>
          <w:color w:val="000000" w:themeColor="text1"/>
          <w:sz w:val="22"/>
          <w14:textFill>
            <w14:solidFill>
              <w14:schemeClr w14:val="tx1"/>
            </w14:solidFill>
          </w14:textFill>
        </w:rPr>
      </w:pPr>
      <w:r>
        <w:rPr>
          <w:rFonts w:hint="eastAsia" w:ascii="宋体" w:hAnsi="宋体"/>
          <w:bCs/>
          <w:color w:val="000000" w:themeColor="text1"/>
          <w:sz w:val="22"/>
          <w14:textFill>
            <w14:solidFill>
              <w14:schemeClr w14:val="tx1"/>
            </w14:solidFill>
          </w14:textFill>
        </w:rPr>
        <w:t>对于属于保险责任的，且赔偿金额明确的，乙方在收到甲方齐全的索赔单证后十日内支付赔款，疑难案件三十日内支付赔款。</w:t>
      </w:r>
    </w:p>
    <w:p>
      <w:pPr>
        <w:spacing w:line="360" w:lineRule="auto"/>
        <w:ind w:firstLine="433" w:firstLineChars="196"/>
        <w:rPr>
          <w:rFonts w:ascii="宋体" w:hAnsi="宋体"/>
          <w:b/>
          <w:color w:val="000000" w:themeColor="text1"/>
          <w:sz w:val="22"/>
          <w14:textFill>
            <w14:solidFill>
              <w14:schemeClr w14:val="tx1"/>
            </w14:solidFill>
          </w14:textFill>
        </w:rPr>
      </w:pPr>
      <w:r>
        <w:rPr>
          <w:rFonts w:hint="eastAsia" w:ascii="宋体" w:hAnsi="宋体"/>
          <w:b/>
          <w:color w:val="000000" w:themeColor="text1"/>
          <w:sz w:val="22"/>
          <w14:textFill>
            <w14:solidFill>
              <w14:schemeClr w14:val="tx1"/>
            </w14:solidFill>
          </w14:textFill>
        </w:rPr>
        <w:t>9.付款方式</w:t>
      </w:r>
    </w:p>
    <w:p>
      <w:pPr>
        <w:spacing w:line="360" w:lineRule="auto"/>
        <w:ind w:left="216" w:leftChars="103" w:firstLine="220" w:firstLineChars="100"/>
        <w:rPr>
          <w:rFonts w:ascii="宋体" w:hAnsi="宋体" w:eastAsia="宋体" w:cs="宋体"/>
          <w:color w:val="000000" w:themeColor="text1"/>
          <w:sz w:val="22"/>
          <w14:textFill>
            <w14:solidFill>
              <w14:schemeClr w14:val="tx1"/>
            </w14:solidFill>
          </w14:textFill>
        </w:rPr>
      </w:pPr>
      <w:r>
        <w:rPr>
          <w:rFonts w:hint="eastAsia" w:ascii="宋体" w:hAnsi="宋体"/>
          <w:bCs/>
          <w:color w:val="000000" w:themeColor="text1"/>
          <w:sz w:val="22"/>
          <w14:textFill>
            <w14:solidFill>
              <w14:schemeClr w14:val="tx1"/>
            </w14:solidFill>
          </w14:textFill>
        </w:rPr>
        <w:t>在合同签订后7个工作日内，实际保费根据中标单价和投保人数按实结算。甲方向乙方一次性支付合同金额的100%（乙方须开具全额的增值税发票并经甲方签字盖章）</w:t>
      </w:r>
    </w:p>
    <w:p>
      <w:pPr>
        <w:spacing w:line="360" w:lineRule="auto"/>
        <w:ind w:firstLine="433" w:firstLineChars="196"/>
        <w:rPr>
          <w:rFonts w:ascii="宋体" w:hAnsi="宋体"/>
          <w:b/>
          <w:color w:val="000000" w:themeColor="text1"/>
          <w:sz w:val="22"/>
          <w:highlight w:val="none"/>
          <w14:textFill>
            <w14:solidFill>
              <w14:schemeClr w14:val="tx1"/>
            </w14:solidFill>
          </w14:textFill>
        </w:rPr>
      </w:pPr>
      <w:r>
        <w:rPr>
          <w:rFonts w:hint="eastAsia" w:ascii="宋体" w:hAnsi="宋体"/>
          <w:b/>
          <w:color w:val="000000" w:themeColor="text1"/>
          <w:sz w:val="22"/>
          <w:highlight w:val="none"/>
          <w14:textFill>
            <w14:solidFill>
              <w14:schemeClr w14:val="tx1"/>
            </w14:solidFill>
          </w14:textFill>
        </w:rPr>
        <w:t>10.投保人数及要求</w:t>
      </w:r>
    </w:p>
    <w:bookmarkEnd w:id="0"/>
    <w:bookmarkEnd w:id="1"/>
    <w:p>
      <w:pPr>
        <w:spacing w:line="360" w:lineRule="auto"/>
        <w:ind w:firstLine="440" w:firstLineChars="200"/>
        <w:rPr>
          <w:rFonts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t>投保单价限价100元/人，投标人按照1500人进行保费报价，以单价进行报价不予接受，实际保费根据中标单价和投保人数按实结算。</w:t>
      </w:r>
    </w:p>
    <w:p>
      <w:pPr>
        <w:spacing w:line="360" w:lineRule="auto"/>
        <w:ind w:firstLine="440" w:firstLineChars="200"/>
        <w:rPr>
          <w:rFonts w:ascii="宋体" w:hAnsi="宋体"/>
          <w:bCs/>
          <w:color w:val="000000" w:themeColor="text1"/>
          <w:sz w:val="22"/>
          <w14:textFill>
            <w14:solidFill>
              <w14:schemeClr w14:val="tx1"/>
            </w14:solidFill>
          </w14:textFill>
        </w:rPr>
      </w:pPr>
    </w:p>
    <w:p>
      <w:pPr>
        <w:spacing w:line="360" w:lineRule="auto"/>
        <w:ind w:firstLine="440" w:firstLineChars="200"/>
        <w:rPr>
          <w:rFonts w:ascii="宋体" w:hAnsi="宋体"/>
          <w:bCs/>
          <w:color w:val="000000" w:themeColor="text1"/>
          <w:sz w:val="22"/>
          <w14:textFill>
            <w14:solidFill>
              <w14:schemeClr w14:val="tx1"/>
            </w14:solidFill>
          </w14:textFill>
        </w:rPr>
      </w:pPr>
    </w:p>
    <w:p>
      <w:pPr>
        <w:spacing w:line="360" w:lineRule="auto"/>
        <w:ind w:firstLine="440" w:firstLineChars="200"/>
        <w:rPr>
          <w:rFonts w:ascii="宋体" w:hAnsi="宋体"/>
          <w:bCs/>
          <w:color w:val="000000" w:themeColor="text1"/>
          <w:sz w:val="22"/>
          <w14:textFill>
            <w14:solidFill>
              <w14:schemeClr w14:val="tx1"/>
            </w14:solidFill>
          </w14:textFill>
        </w:rPr>
      </w:pPr>
    </w:p>
    <w:p>
      <w:pPr>
        <w:spacing w:line="360" w:lineRule="auto"/>
        <w:ind w:firstLine="440" w:firstLineChars="200"/>
        <w:rPr>
          <w:rFonts w:ascii="宋体" w:hAnsi="宋体"/>
          <w:bCs/>
          <w:color w:val="000000" w:themeColor="text1"/>
          <w:sz w:val="22"/>
          <w14:textFill>
            <w14:solidFill>
              <w14:schemeClr w14:val="tx1"/>
            </w14:solidFill>
          </w14:textFill>
        </w:rPr>
      </w:pPr>
    </w:p>
    <w:p>
      <w:pPr>
        <w:spacing w:line="360" w:lineRule="auto"/>
        <w:ind w:firstLine="440" w:firstLineChars="200"/>
        <w:rPr>
          <w:rFonts w:ascii="宋体" w:hAnsi="宋体"/>
          <w:bCs/>
          <w:color w:val="000000" w:themeColor="text1"/>
          <w:sz w:val="22"/>
          <w14:textFill>
            <w14:solidFill>
              <w14:schemeClr w14:val="tx1"/>
            </w14:solidFill>
          </w14:textFill>
        </w:rPr>
      </w:pPr>
    </w:p>
    <w:p>
      <w:pPr>
        <w:spacing w:line="360" w:lineRule="auto"/>
        <w:ind w:firstLine="440" w:firstLineChars="200"/>
        <w:rPr>
          <w:rFonts w:ascii="宋体" w:hAnsi="宋体"/>
          <w:bCs/>
          <w:color w:val="000000" w:themeColor="text1"/>
          <w:sz w:val="22"/>
          <w14:textFill>
            <w14:solidFill>
              <w14:schemeClr w14:val="tx1"/>
            </w14:solidFill>
          </w14:textFill>
        </w:rPr>
      </w:pPr>
    </w:p>
    <w:p>
      <w:pPr>
        <w:spacing w:line="360" w:lineRule="auto"/>
        <w:ind w:firstLine="440" w:firstLineChars="200"/>
        <w:rPr>
          <w:rFonts w:ascii="宋体" w:hAnsi="宋体"/>
          <w:bCs/>
          <w:color w:val="000000" w:themeColor="text1"/>
          <w:sz w:val="22"/>
          <w14:textFill>
            <w14:solidFill>
              <w14:schemeClr w14:val="tx1"/>
            </w14:solidFill>
          </w14:textFill>
        </w:rPr>
      </w:pPr>
    </w:p>
    <w:p>
      <w:pPr>
        <w:spacing w:line="360" w:lineRule="auto"/>
        <w:ind w:firstLine="440" w:firstLineChars="200"/>
        <w:rPr>
          <w:rFonts w:hint="eastAsia" w:ascii="宋体" w:hAnsi="宋体"/>
          <w:bCs/>
          <w:color w:val="000000" w:themeColor="text1"/>
          <w:sz w:val="22"/>
          <w14:textFill>
            <w14:solidFill>
              <w14:schemeClr w14:val="tx1"/>
            </w14:solidFill>
          </w14:textFill>
        </w:rPr>
      </w:pPr>
    </w:p>
    <w:p>
      <w:pPr>
        <w:spacing w:line="360" w:lineRule="auto"/>
        <w:ind w:firstLine="440" w:firstLineChars="200"/>
        <w:rPr>
          <w:rFonts w:ascii="宋体" w:hAnsi="宋体"/>
          <w:bCs/>
          <w:color w:val="000000" w:themeColor="text1"/>
          <w:sz w:val="22"/>
          <w14:textFill>
            <w14:solidFill>
              <w14:schemeClr w14:val="tx1"/>
            </w14:solidFill>
          </w14:textFill>
        </w:rPr>
      </w:pPr>
    </w:p>
    <w:p>
      <w:pPr>
        <w:spacing w:line="360" w:lineRule="auto"/>
        <w:ind w:firstLine="440" w:firstLineChars="200"/>
        <w:rPr>
          <w:rFonts w:ascii="宋体" w:hAnsi="宋体"/>
          <w:bCs/>
          <w:color w:val="000000" w:themeColor="text1"/>
          <w:sz w:val="22"/>
          <w14:textFill>
            <w14:solidFill>
              <w14:schemeClr w14:val="tx1"/>
            </w14:solidFill>
          </w14:textFill>
        </w:rPr>
      </w:pPr>
    </w:p>
    <w:p>
      <w:pPr>
        <w:spacing w:line="460" w:lineRule="exact"/>
        <w:rPr>
          <w:rFonts w:hint="eastAsia" w:ascii="宋体" w:hAnsi="宋体" w:eastAsia="宋体" w:cs="Times New Roman"/>
          <w:b/>
          <w:bCs/>
          <w:color w:val="000000" w:themeColor="text1"/>
          <w:szCs w:val="21"/>
          <w14:textFill>
            <w14:solidFill>
              <w14:schemeClr w14:val="tx1"/>
            </w14:solidFill>
          </w14:textFill>
        </w:rPr>
      </w:pPr>
    </w:p>
    <w:p>
      <w:pPr>
        <w:spacing w:line="460" w:lineRule="exact"/>
        <w:rPr>
          <w:rFonts w:hint="eastAsia" w:ascii="宋体" w:hAnsi="宋体" w:eastAsia="宋体" w:cs="Times New Roman"/>
          <w:b/>
          <w:bCs/>
          <w:color w:val="000000" w:themeColor="text1"/>
          <w:szCs w:val="21"/>
          <w14:textFill>
            <w14:solidFill>
              <w14:schemeClr w14:val="tx1"/>
            </w14:solidFill>
          </w14:textFill>
        </w:rPr>
      </w:pPr>
    </w:p>
    <w:p>
      <w:pPr>
        <w:spacing w:line="460" w:lineRule="exact"/>
        <w:rPr>
          <w:rFonts w:ascii="Arial" w:hAnsi="Arial" w:eastAsia="宋体" w:cs="Arial"/>
          <w:b/>
          <w:bCs/>
          <w:color w:val="000000" w:themeColor="text1"/>
          <w:kern w:val="0"/>
          <w:sz w:val="32"/>
          <w:szCs w:val="32"/>
          <w14:textFill>
            <w14:solidFill>
              <w14:schemeClr w14:val="tx1"/>
            </w14:solidFill>
          </w14:textFill>
        </w:rPr>
      </w:pPr>
      <w:r>
        <w:rPr>
          <w:rFonts w:hint="eastAsia" w:ascii="宋体" w:hAnsi="宋体" w:eastAsia="宋体" w:cs="Times New Roman"/>
          <w:b/>
          <w:bCs/>
          <w:color w:val="000000" w:themeColor="text1"/>
          <w:szCs w:val="21"/>
          <w14:textFill>
            <w14:solidFill>
              <w14:schemeClr w14:val="tx1"/>
            </w14:solidFill>
          </w14:textFill>
        </w:rPr>
        <w:t>附件二</w:t>
      </w:r>
    </w:p>
    <w:p>
      <w:pPr>
        <w:spacing w:line="400" w:lineRule="exact"/>
        <w:ind w:firstLine="2731" w:firstLineChars="850"/>
        <w:rPr>
          <w:rFonts w:ascii="Arial" w:hAnsi="Arial" w:eastAsia="宋体" w:cs="Arial"/>
          <w:b/>
          <w:bCs/>
          <w:color w:val="000000" w:themeColor="text1"/>
          <w:kern w:val="0"/>
          <w:sz w:val="32"/>
          <w:szCs w:val="32"/>
          <w14:textFill>
            <w14:solidFill>
              <w14:schemeClr w14:val="tx1"/>
            </w14:solidFill>
          </w14:textFill>
        </w:rPr>
      </w:pPr>
      <w:r>
        <w:rPr>
          <w:rFonts w:hint="eastAsia" w:ascii="Arial" w:hAnsi="Arial" w:eastAsia="宋体" w:cs="Arial"/>
          <w:b/>
          <w:bCs/>
          <w:color w:val="000000" w:themeColor="text1"/>
          <w:kern w:val="0"/>
          <w:sz w:val="32"/>
          <w:szCs w:val="32"/>
          <w14:textFill>
            <w14:solidFill>
              <w14:schemeClr w14:val="tx1"/>
            </w14:solidFill>
          </w14:textFill>
        </w:rPr>
        <w:t>合同格式（参考格式）</w:t>
      </w:r>
    </w:p>
    <w:p>
      <w:pPr>
        <w:ind w:left="105" w:leftChars="50" w:firstLine="440" w:firstLineChars="200"/>
        <w:jc w:val="left"/>
        <w:rPr>
          <w:rFonts w:ascii="宋体" w:hAnsi="宋体" w:eastAsia="宋体" w:cs="宋体"/>
          <w:color w:val="000000" w:themeColor="text1"/>
          <w:sz w:val="22"/>
          <w14:textFill>
            <w14:solidFill>
              <w14:schemeClr w14:val="tx1"/>
            </w14:solidFill>
          </w14:textFill>
        </w:rPr>
      </w:pPr>
    </w:p>
    <w:p>
      <w:pPr>
        <w:ind w:left="105" w:leftChars="50" w:firstLine="440" w:firstLineChars="200"/>
        <w:jc w:val="left"/>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甲方（投保人）：温州市康居物业管理有限公司</w:t>
      </w:r>
    </w:p>
    <w:p>
      <w:pPr>
        <w:ind w:left="105" w:leftChars="50"/>
        <w:jc w:val="left"/>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    </w:t>
      </w:r>
    </w:p>
    <w:p>
      <w:pPr>
        <w:ind w:left="105" w:leftChars="50" w:firstLine="440" w:firstLineChars="200"/>
        <w:jc w:val="left"/>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乙方（保险人）：</w:t>
      </w:r>
      <w:bookmarkStart w:id="3" w:name="_GoBack"/>
      <w:bookmarkEnd w:id="3"/>
    </w:p>
    <w:p>
      <w:pPr>
        <w:spacing w:line="480" w:lineRule="exact"/>
        <w:ind w:left="105" w:leftChars="50"/>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    第一条、服务内容</w:t>
      </w:r>
    </w:p>
    <w:p>
      <w:pPr>
        <w:pStyle w:val="4"/>
        <w:spacing w:after="0" w:line="480" w:lineRule="exact"/>
        <w:ind w:left="105" w:leftChars="5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本次服务范围为康居物业员工团体意外险</w:t>
      </w:r>
    </w:p>
    <w:p>
      <w:pPr>
        <w:spacing w:line="480" w:lineRule="exact"/>
        <w:ind w:left="105" w:leftChars="50"/>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    第二条、服务要求</w:t>
      </w:r>
    </w:p>
    <w:p>
      <w:pPr>
        <w:spacing w:line="480" w:lineRule="exact"/>
        <w:ind w:left="105" w:leftChars="50" w:firstLine="420"/>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 严格按照中标文件中的服务内容及要求执行。</w:t>
      </w:r>
    </w:p>
    <w:p>
      <w:pPr>
        <w:spacing w:line="480" w:lineRule="exact"/>
        <w:ind w:left="105" w:leftChars="50" w:firstLine="440" w:firstLineChars="200"/>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1、甲方员工出险后，乙方应根据服务承诺，对事故进行及时处理并支付赔款。</w:t>
      </w:r>
    </w:p>
    <w:p>
      <w:pPr>
        <w:spacing w:line="480" w:lineRule="exact"/>
        <w:ind w:left="105" w:leftChars="50" w:firstLine="440" w:firstLineChars="200"/>
        <w:rPr>
          <w:rFonts w:ascii="宋体" w:hAnsi="宋体" w:eastAsia="宋体" w:cs="宋体"/>
          <w:b/>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2、乙方必须指派一名员工为甲方服务，主动及时协助投保方处理赔款事宜。</w:t>
      </w:r>
    </w:p>
    <w:p>
      <w:pPr>
        <w:spacing w:line="480" w:lineRule="exact"/>
        <w:ind w:left="105" w:leftChars="50" w:firstLine="440" w:firstLineChars="200"/>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3、投保方在保险期内的一切事故赔款事宜，直接与乙方办理。</w:t>
      </w:r>
    </w:p>
    <w:p>
      <w:pPr>
        <w:spacing w:line="480" w:lineRule="exact"/>
        <w:ind w:left="762" w:leftChars="258" w:hanging="220" w:hangingChars="100"/>
        <w:rPr>
          <w:rFonts w:ascii="宋体" w:hAnsi="宋体" w:eastAsia="宋体" w:cs="宋体"/>
          <w:color w:val="000000" w:themeColor="text1"/>
          <w:sz w:val="22"/>
          <w:highlight w:val="yellow"/>
          <w14:textFill>
            <w14:solidFill>
              <w14:schemeClr w14:val="tx1"/>
            </w14:solidFill>
          </w14:textFill>
        </w:rPr>
      </w:pPr>
      <w:r>
        <w:rPr>
          <w:rFonts w:hint="eastAsia" w:ascii="宋体" w:hAnsi="宋体" w:eastAsia="宋体" w:cs="宋体"/>
          <w:color w:val="000000" w:themeColor="text1"/>
          <w:sz w:val="22"/>
          <w:highlight w:val="yellow"/>
          <w14:textFill>
            <w14:solidFill>
              <w14:schemeClr w14:val="tx1"/>
            </w14:solidFill>
          </w14:textFill>
        </w:rPr>
        <w:t>4、投保单价限价100元/人，投标人按照</w:t>
      </w:r>
      <w:r>
        <w:rPr>
          <w:rFonts w:hint="eastAsia" w:ascii="宋体" w:hAnsi="宋体" w:eastAsia="宋体" w:cs="宋体"/>
          <w:color w:val="000000" w:themeColor="text1"/>
          <w:sz w:val="22"/>
          <w:highlight w:val="yellow"/>
          <w:lang w:val="en-US" w:eastAsia="zh-CN"/>
          <w14:textFill>
            <w14:solidFill>
              <w14:schemeClr w14:val="tx1"/>
            </w14:solidFill>
          </w14:textFill>
        </w:rPr>
        <w:t>1500</w:t>
      </w:r>
      <w:r>
        <w:rPr>
          <w:rFonts w:hint="eastAsia" w:ascii="宋体" w:hAnsi="宋体" w:eastAsia="宋体" w:cs="宋体"/>
          <w:color w:val="000000" w:themeColor="text1"/>
          <w:sz w:val="22"/>
          <w:highlight w:val="yellow"/>
          <w14:textFill>
            <w14:solidFill>
              <w14:schemeClr w14:val="tx1"/>
            </w14:solidFill>
          </w14:textFill>
        </w:rPr>
        <w:t>人进行保费报价，以单价进行报价不予接受，实际保费根据中标单价和投保人数按实结算。</w:t>
      </w:r>
    </w:p>
    <w:p>
      <w:pPr>
        <w:spacing w:line="480" w:lineRule="exact"/>
        <w:ind w:left="105" w:leftChars="50" w:firstLine="440" w:firstLineChars="200"/>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如乙方未按照中标文件中的服务内容及要求执行，甲方有权单方终止合作。</w:t>
      </w:r>
    </w:p>
    <w:p>
      <w:pPr>
        <w:numPr>
          <w:ilvl w:val="0"/>
          <w:numId w:val="1"/>
        </w:numPr>
        <w:spacing w:line="480" w:lineRule="exact"/>
        <w:ind w:left="105" w:leftChars="50" w:firstLine="420"/>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支付方式</w:t>
      </w:r>
    </w:p>
    <w:p>
      <w:pPr>
        <w:spacing w:line="360" w:lineRule="auto"/>
        <w:ind w:left="881" w:leftChars="208" w:hanging="444" w:hangingChars="202"/>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   </w:t>
      </w:r>
      <w:r>
        <w:rPr>
          <w:rFonts w:hint="eastAsia" w:ascii="宋体" w:hAnsi="宋体"/>
          <w:bCs/>
          <w:color w:val="000000" w:themeColor="text1"/>
          <w:sz w:val="22"/>
          <w14:textFill>
            <w14:solidFill>
              <w14:schemeClr w14:val="tx1"/>
            </w14:solidFill>
          </w14:textFill>
        </w:rPr>
        <w:t>在合同签订后7个工作日内，实际保费根据中标单价和投保人数按实结算。甲方向乙方一次性支付合同金额的100%（乙方须开具全额的增值税发票并经甲方签字盖章）</w:t>
      </w:r>
    </w:p>
    <w:p>
      <w:pPr>
        <w:numPr>
          <w:ilvl w:val="0"/>
          <w:numId w:val="2"/>
        </w:numPr>
        <w:spacing w:line="480" w:lineRule="exact"/>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解决合同纠纷方式</w:t>
      </w:r>
    </w:p>
    <w:p>
      <w:pPr>
        <w:spacing w:line="480" w:lineRule="exact"/>
        <w:ind w:left="982" w:leftChars="258" w:hanging="440" w:hangingChars="200"/>
        <w:rPr>
          <w:rFonts w:ascii="宋体" w:hAnsi="宋体" w:eastAsia="宋体" w:cs="宋体"/>
          <w:color w:val="000000" w:themeColor="text1"/>
          <w:sz w:val="22"/>
          <w14:textFill>
            <w14:solidFill>
              <w14:schemeClr w14:val="tx1"/>
            </w14:solidFill>
          </w14:textFill>
        </w:rPr>
      </w:pPr>
      <w:r>
        <w:rPr>
          <w:rFonts w:hint="eastAsia" w:ascii="宋体" w:hAnsi="宋体" w:eastAsia="宋体" w:cs="宋体"/>
          <w:bCs/>
          <w:color w:val="000000" w:themeColor="text1"/>
          <w:sz w:val="22"/>
          <w14:textFill>
            <w14:solidFill>
              <w14:schemeClr w14:val="tx1"/>
            </w14:solidFill>
          </w14:textFill>
        </w:rPr>
        <w:t>1、</w:t>
      </w:r>
      <w:r>
        <w:rPr>
          <w:rFonts w:hint="eastAsia" w:ascii="宋体" w:hAnsi="宋体" w:eastAsia="宋体" w:cs="宋体"/>
          <w:color w:val="000000" w:themeColor="text1"/>
          <w:sz w:val="22"/>
          <w14:textFill>
            <w14:solidFill>
              <w14:schemeClr w14:val="tx1"/>
            </w14:solidFill>
          </w14:textFill>
        </w:rPr>
        <w:t>解决合同纠纷方式：由双方友好协商解决，协商未成再向服务合同签订地人民法院起诉。</w:t>
      </w:r>
    </w:p>
    <w:p>
      <w:pPr>
        <w:spacing w:line="480" w:lineRule="exact"/>
        <w:ind w:left="105" w:leftChars="50" w:firstLine="440" w:firstLineChars="200"/>
        <w:rPr>
          <w:rFonts w:ascii="宋体" w:hAnsi="宋体" w:eastAsia="宋体" w:cs="宋体"/>
          <w:color w:val="000000" w:themeColor="text1"/>
          <w:sz w:val="22"/>
          <w14:textFill>
            <w14:solidFill>
              <w14:schemeClr w14:val="tx1"/>
            </w14:solidFill>
          </w14:textFill>
        </w:rPr>
      </w:pPr>
      <w:r>
        <w:rPr>
          <w:rFonts w:hint="eastAsia" w:ascii="宋体" w:hAnsi="宋体" w:eastAsia="宋体" w:cs="宋体"/>
          <w:bCs/>
          <w:color w:val="000000" w:themeColor="text1"/>
          <w:sz w:val="22"/>
          <w14:textFill>
            <w14:solidFill>
              <w14:schemeClr w14:val="tx1"/>
            </w14:solidFill>
          </w14:textFill>
        </w:rPr>
        <w:t>2、</w:t>
      </w:r>
      <w:r>
        <w:rPr>
          <w:rFonts w:hint="eastAsia" w:ascii="宋体" w:hAnsi="宋体" w:eastAsia="宋体" w:cs="宋体"/>
          <w:color w:val="000000" w:themeColor="text1"/>
          <w:sz w:val="22"/>
          <w14:textFill>
            <w14:solidFill>
              <w14:schemeClr w14:val="tx1"/>
            </w14:solidFill>
          </w14:textFill>
        </w:rPr>
        <w:t>仲裁裁决为最终裁决，对甲方、投保方和乙方均有约束力。</w:t>
      </w:r>
    </w:p>
    <w:p>
      <w:pPr>
        <w:spacing w:line="480" w:lineRule="exact"/>
        <w:ind w:left="105" w:leftChars="50" w:firstLine="330" w:firstLineChars="150"/>
        <w:rPr>
          <w:rFonts w:ascii="宋体" w:hAnsi="宋体" w:eastAsia="宋体" w:cs="宋体"/>
          <w:color w:val="000000" w:themeColor="text1"/>
          <w:sz w:val="22"/>
          <w14:textFill>
            <w14:solidFill>
              <w14:schemeClr w14:val="tx1"/>
            </w14:solidFill>
          </w14:textFill>
        </w:rPr>
      </w:pPr>
      <w:r>
        <w:rPr>
          <w:rFonts w:hint="eastAsia" w:ascii="宋体" w:hAnsi="宋体" w:eastAsia="宋体" w:cs="宋体"/>
          <w:bCs/>
          <w:color w:val="000000" w:themeColor="text1"/>
          <w:sz w:val="22"/>
          <w14:textFill>
            <w14:solidFill>
              <w14:schemeClr w14:val="tx1"/>
            </w14:solidFill>
          </w14:textFill>
        </w:rPr>
        <w:t xml:space="preserve"> 3、</w:t>
      </w:r>
      <w:r>
        <w:rPr>
          <w:rFonts w:hint="eastAsia" w:ascii="宋体" w:hAnsi="宋体" w:eastAsia="宋体" w:cs="宋体"/>
          <w:color w:val="000000" w:themeColor="text1"/>
          <w:sz w:val="22"/>
          <w14:textFill>
            <w14:solidFill>
              <w14:schemeClr w14:val="tx1"/>
            </w14:solidFill>
          </w14:textFill>
        </w:rPr>
        <w:t>在仲裁期间，本合同应继续履行。</w:t>
      </w:r>
    </w:p>
    <w:p>
      <w:pPr>
        <w:spacing w:line="480" w:lineRule="exact"/>
        <w:ind w:left="105" w:leftChars="50" w:firstLine="440" w:firstLineChars="200"/>
        <w:rPr>
          <w:rFonts w:ascii="宋体" w:hAnsi="宋体" w:eastAsia="宋体" w:cs="宋体"/>
          <w:b/>
          <w:color w:val="000000" w:themeColor="text1"/>
          <w:sz w:val="22"/>
          <w14:textFill>
            <w14:solidFill>
              <w14:schemeClr w14:val="tx1"/>
            </w14:solidFill>
          </w14:textFill>
        </w:rPr>
      </w:pPr>
      <w:r>
        <w:rPr>
          <w:rFonts w:hint="eastAsia" w:ascii="宋体" w:hAnsi="宋体" w:eastAsia="宋体" w:cs="宋体"/>
          <w:bCs/>
          <w:color w:val="000000" w:themeColor="text1"/>
          <w:sz w:val="22"/>
          <w14:textFill>
            <w14:solidFill>
              <w14:schemeClr w14:val="tx1"/>
            </w14:solidFill>
          </w14:textFill>
        </w:rPr>
        <w:t>第五条、合同有效期</w:t>
      </w:r>
    </w:p>
    <w:p>
      <w:pPr>
        <w:spacing w:line="480" w:lineRule="exact"/>
        <w:ind w:left="105" w:leftChars="50" w:firstLine="440" w:firstLineChars="200"/>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本合同有效期为</w:t>
      </w:r>
      <w:r>
        <w:rPr>
          <w:rFonts w:hint="eastAsia" w:ascii="宋体" w:hAnsi="宋体" w:eastAsia="宋体" w:cs="宋体"/>
          <w:bCs/>
          <w:color w:val="000000" w:themeColor="text1"/>
          <w:sz w:val="22"/>
          <w14:textFill>
            <w14:solidFill>
              <w14:schemeClr w14:val="tx1"/>
            </w14:solidFill>
          </w14:textFill>
        </w:rPr>
        <w:t>自2022年 4 月20日起至2023年 4 月19 日。</w:t>
      </w:r>
    </w:p>
    <w:p>
      <w:pPr>
        <w:spacing w:line="480" w:lineRule="exact"/>
        <w:ind w:left="660" w:hanging="660" w:hangingChars="300"/>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     第六条、本项目的询价文件，乙方的投标文件均作为签订本合同的依据与组成部分，与本合同具有同等效力。若有歧义，以有利于甲方（投保方）为准。</w:t>
      </w:r>
    </w:p>
    <w:p>
      <w:pPr>
        <w:spacing w:line="480" w:lineRule="exact"/>
        <w:ind w:left="105" w:leftChars="50" w:firstLine="440" w:firstLineChars="200"/>
        <w:rPr>
          <w:rFonts w:ascii="宋体" w:hAnsi="宋体" w:eastAsia="宋体" w:cs="宋体"/>
          <w:b/>
          <w:bCs/>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第七条、本合同一式贰份，甲方执壹份、乙方执壹份，由双方盖公章后生效。</w:t>
      </w:r>
    </w:p>
    <w:p>
      <w:pPr>
        <w:spacing w:line="480" w:lineRule="exact"/>
        <w:rPr>
          <w:rFonts w:ascii="宋体" w:hAnsi="宋体" w:eastAsia="宋体" w:cs="宋体"/>
          <w:color w:val="000000" w:themeColor="text1"/>
          <w:sz w:val="22"/>
          <w14:textFill>
            <w14:solidFill>
              <w14:schemeClr w14:val="tx1"/>
            </w14:solidFill>
          </w14:textFill>
        </w:rPr>
      </w:pPr>
    </w:p>
    <w:p>
      <w:pPr>
        <w:spacing w:line="480" w:lineRule="exact"/>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甲方（盖章）：                             乙方（盖章）：</w:t>
      </w:r>
    </w:p>
    <w:p>
      <w:pPr>
        <w:tabs>
          <w:tab w:val="left" w:pos="1647"/>
        </w:tabs>
        <w:rPr>
          <w:rFonts w:ascii="宋体" w:hAnsi="宋体" w:eastAsia="宋体" w:cs="宋体"/>
          <w:color w:val="000000" w:themeColor="text1"/>
          <w:sz w:val="22"/>
          <w14:textFill>
            <w14:solidFill>
              <w14:schemeClr w14:val="tx1"/>
            </w14:solidFill>
          </w14:textFill>
        </w:rPr>
      </w:pPr>
    </w:p>
    <w:p>
      <w:pPr>
        <w:tabs>
          <w:tab w:val="left" w:pos="1647"/>
        </w:tabs>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委托代表（签字） ：                       委托代表（签字）：</w:t>
      </w:r>
    </w:p>
    <w:p>
      <w:pPr>
        <w:tabs>
          <w:tab w:val="left" w:pos="1647"/>
        </w:tabs>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开户行：                                  开户行：</w:t>
      </w:r>
    </w:p>
    <w:p>
      <w:pPr>
        <w:tabs>
          <w:tab w:val="left" w:pos="1647"/>
        </w:tabs>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账号：                                    账号： </w:t>
      </w:r>
    </w:p>
    <w:p>
      <w:pPr>
        <w:tabs>
          <w:tab w:val="left" w:pos="1647"/>
        </w:tabs>
        <w:rPr>
          <w:rFonts w:ascii="宋体" w:hAnsi="宋体" w:eastAsia="宋体" w:cs="宋体"/>
          <w:color w:val="000000" w:themeColor="text1"/>
          <w:sz w:val="22"/>
          <w14:textFill>
            <w14:solidFill>
              <w14:schemeClr w14:val="tx1"/>
            </w14:solidFill>
          </w14:textFill>
        </w:rPr>
      </w:pPr>
    </w:p>
    <w:p>
      <w:pPr>
        <w:tabs>
          <w:tab w:val="left" w:pos="1647"/>
        </w:tabs>
        <w:rPr>
          <w:rFonts w:ascii="宋体" w:hAnsi="宋体" w:eastAsia="宋体" w:cs="宋体"/>
          <w:color w:val="000000" w:themeColor="text1"/>
          <w:sz w:val="22"/>
          <w14:textFill>
            <w14:solidFill>
              <w14:schemeClr w14:val="tx1"/>
            </w14:solidFill>
          </w14:textFill>
        </w:rPr>
      </w:pPr>
    </w:p>
    <w:p>
      <w:pPr>
        <w:tabs>
          <w:tab w:val="left" w:pos="1647"/>
        </w:tabs>
        <w:ind w:firstLine="5500" w:firstLineChars="2500"/>
        <w:rPr>
          <w:color w:val="000000" w:themeColor="text1"/>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签订日期：</w:t>
      </w: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DED86CF"/>
    <w:multiLevelType w:val="singleLevel"/>
    <w:tmpl w:val="4DED86CF"/>
    <w:lvl w:ilvl="0" w:tentative="0">
      <w:start w:val="4"/>
      <w:numFmt w:val="chineseCounting"/>
      <w:suff w:val="nothing"/>
      <w:lvlText w:val="第%1条、"/>
      <w:lvlJc w:val="left"/>
      <w:pPr>
        <w:ind w:left="635" w:firstLine="0"/>
      </w:pPr>
      <w:rPr>
        <w:rFonts w:hint="eastAsia"/>
      </w:rPr>
    </w:lvl>
  </w:abstractNum>
  <w:abstractNum w:abstractNumId="1">
    <w:nsid w:val="68FAC4C5"/>
    <w:multiLevelType w:val="singleLevel"/>
    <w:tmpl w:val="68FAC4C5"/>
    <w:lvl w:ilvl="0" w:tentative="0">
      <w:start w:val="3"/>
      <w:numFmt w:val="chineseCounting"/>
      <w:suff w:val="nothing"/>
      <w:lvlText w:val="第%1条、"/>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U2MTk1OGY5Yjc1NWJkMjdhZGQ1ZTRlMDhkZWMxNWEifQ=="/>
  </w:docVars>
  <w:rsids>
    <w:rsidRoot w:val="00172A27"/>
    <w:rsid w:val="000504C9"/>
    <w:rsid w:val="00172A27"/>
    <w:rsid w:val="002C64C0"/>
    <w:rsid w:val="003213DD"/>
    <w:rsid w:val="0039130D"/>
    <w:rsid w:val="00542A32"/>
    <w:rsid w:val="00A3704A"/>
    <w:rsid w:val="00AA4AD3"/>
    <w:rsid w:val="00BB3F41"/>
    <w:rsid w:val="06486D91"/>
    <w:rsid w:val="0D075185"/>
    <w:rsid w:val="120C51CC"/>
    <w:rsid w:val="22E527DA"/>
    <w:rsid w:val="265B7CB1"/>
    <w:rsid w:val="29251B72"/>
    <w:rsid w:val="2BC152A5"/>
    <w:rsid w:val="321E6514"/>
    <w:rsid w:val="34C24459"/>
    <w:rsid w:val="3937685F"/>
    <w:rsid w:val="3DE511B8"/>
    <w:rsid w:val="41F96057"/>
    <w:rsid w:val="43E81185"/>
    <w:rsid w:val="45FB77CB"/>
    <w:rsid w:val="460A5F01"/>
    <w:rsid w:val="46D17F23"/>
    <w:rsid w:val="50CB2F9C"/>
    <w:rsid w:val="54293D89"/>
    <w:rsid w:val="582613E9"/>
    <w:rsid w:val="5FB802CB"/>
    <w:rsid w:val="6C0A61C7"/>
    <w:rsid w:val="705148F0"/>
    <w:rsid w:val="73382E3A"/>
    <w:rsid w:val="752B514B"/>
    <w:rsid w:val="795F53D3"/>
    <w:rsid w:val="7E8516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customStyle="1" w:styleId="3">
    <w:name w:val="正文文本首行缩进1"/>
    <w:basedOn w:val="2"/>
    <w:qFormat/>
    <w:uiPriority w:val="99"/>
    <w:pPr>
      <w:spacing w:line="500" w:lineRule="exact"/>
      <w:ind w:firstLine="420"/>
    </w:pPr>
    <w:rPr>
      <w:sz w:val="28"/>
    </w:rPr>
  </w:style>
  <w:style w:type="paragraph" w:styleId="4">
    <w:name w:val="Body Text Indent"/>
    <w:basedOn w:val="1"/>
    <w:qFormat/>
    <w:uiPriority w:val="0"/>
    <w:pPr>
      <w:spacing w:after="120"/>
      <w:ind w:left="420" w:leftChars="200"/>
    </w:pPr>
    <w:rPr>
      <w:rFonts w:ascii="Calibri" w:hAnsi="Calibri" w:eastAsia="宋体" w:cs="Times New Roman"/>
      <w:szCs w:val="24"/>
    </w:rPr>
  </w:style>
  <w:style w:type="paragraph" w:styleId="5">
    <w:name w:val="footer"/>
    <w:basedOn w:val="1"/>
    <w:unhideWhenUsed/>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309</Words>
  <Characters>1765</Characters>
  <Lines>14</Lines>
  <Paragraphs>4</Paragraphs>
  <TotalTime>27</TotalTime>
  <ScaleCrop>false</ScaleCrop>
  <LinksUpToDate>false</LinksUpToDate>
  <CharactersWithSpaces>2070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2021-03-17T07:42:00Z</dcterms:created>
  <dc:creator>administer</dc:creator>
  <cp:lastModifiedBy>翔仔</cp:lastModifiedBy>
  <cp:lastPrinted>2021-11-26T06:14:00Z</cp:lastPrinted>
  <dcterms:modified xsi:type="dcterms:W3CDTF">2023-03-17T07:45:35Z</dcterms:modified>
  <dc:title>附件一</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7B5CAD3100514994B49DF79F2288C012</vt:lpwstr>
  </property>
</Properties>
</file>