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line="500" w:lineRule="atLeast"/>
        <w:textAlignment w:val="bottom"/>
        <w:rPr>
          <w:rFonts w:ascii="新宋体" w:hAnsi="新宋体" w:eastAsia="新宋体" w:cs="新宋体"/>
          <w:b/>
          <w:bCs/>
          <w:color w:val="auto"/>
          <w:spacing w:val="120"/>
          <w:sz w:val="72"/>
          <w:szCs w:val="72"/>
          <w:highlight w:val="none"/>
        </w:rPr>
      </w:pPr>
    </w:p>
    <w:p>
      <w:pPr>
        <w:autoSpaceDE w:val="0"/>
        <w:autoSpaceDN w:val="0"/>
        <w:spacing w:line="500" w:lineRule="atLeast"/>
        <w:jc w:val="center"/>
        <w:textAlignment w:val="bottom"/>
        <w:rPr>
          <w:rFonts w:ascii="新宋体" w:hAnsi="新宋体" w:eastAsia="新宋体" w:cs="新宋体"/>
          <w:bCs/>
          <w:color w:val="auto"/>
          <w:sz w:val="84"/>
          <w:szCs w:val="84"/>
          <w:highlight w:val="none"/>
        </w:rPr>
      </w:pPr>
      <w:r>
        <w:rPr>
          <w:rFonts w:hint="eastAsia" w:ascii="新宋体" w:hAnsi="新宋体" w:eastAsia="新宋体" w:cs="新宋体"/>
          <w:b/>
          <w:bCs/>
          <w:color w:val="auto"/>
          <w:spacing w:val="120"/>
          <w:sz w:val="84"/>
          <w:szCs w:val="84"/>
          <w:highlight w:val="none"/>
        </w:rPr>
        <w:t>温州市国有企业</w:t>
      </w:r>
    </w:p>
    <w:p>
      <w:pPr>
        <w:spacing w:line="400" w:lineRule="atLeast"/>
        <w:jc w:val="center"/>
        <w:rPr>
          <w:rFonts w:ascii="新宋体" w:hAnsi="新宋体" w:eastAsia="新宋体" w:cs="新宋体"/>
          <w:b/>
          <w:color w:val="auto"/>
          <w:sz w:val="52"/>
          <w:highlight w:val="none"/>
        </w:rPr>
      </w:pPr>
    </w:p>
    <w:p>
      <w:pPr>
        <w:tabs>
          <w:tab w:val="left" w:pos="6660"/>
        </w:tabs>
        <w:spacing w:line="400" w:lineRule="atLeast"/>
        <w:jc w:val="center"/>
        <w:rPr>
          <w:rFonts w:ascii="新宋体" w:hAnsi="新宋体" w:eastAsia="新宋体" w:cs="新宋体"/>
          <w:b/>
          <w:color w:val="auto"/>
          <w:sz w:val="52"/>
          <w:highlight w:val="none"/>
        </w:rPr>
      </w:pPr>
    </w:p>
    <w:p>
      <w:pPr>
        <w:spacing w:line="400" w:lineRule="atLeast"/>
        <w:jc w:val="center"/>
        <w:rPr>
          <w:rFonts w:ascii="新宋体" w:hAnsi="新宋体" w:eastAsia="新宋体" w:cs="新宋体"/>
          <w:b/>
          <w:color w:val="auto"/>
          <w:sz w:val="52"/>
          <w:highlight w:val="none"/>
        </w:rPr>
      </w:pPr>
    </w:p>
    <w:p>
      <w:pPr>
        <w:spacing w:line="400" w:lineRule="atLeast"/>
        <w:jc w:val="center"/>
        <w:rPr>
          <w:rFonts w:ascii="新宋体" w:hAnsi="新宋体" w:eastAsia="新宋体" w:cs="新宋体"/>
          <w:b/>
          <w:color w:val="auto"/>
          <w:sz w:val="52"/>
          <w:highlight w:val="none"/>
        </w:rPr>
      </w:pPr>
    </w:p>
    <w:p>
      <w:pPr>
        <w:autoSpaceDE w:val="0"/>
        <w:autoSpaceDN w:val="0"/>
        <w:spacing w:line="500" w:lineRule="atLeast"/>
        <w:jc w:val="center"/>
        <w:textAlignment w:val="bottom"/>
        <w:rPr>
          <w:rFonts w:ascii="新宋体" w:hAnsi="新宋体" w:eastAsia="新宋体" w:cs="新宋体"/>
          <w:b/>
          <w:color w:val="auto"/>
          <w:sz w:val="72"/>
          <w:szCs w:val="72"/>
          <w:highlight w:val="none"/>
        </w:rPr>
      </w:pPr>
      <w:r>
        <w:rPr>
          <w:rFonts w:hint="eastAsia" w:ascii="新宋体" w:hAnsi="新宋体" w:eastAsia="新宋体" w:cs="新宋体"/>
          <w:b/>
          <w:bCs/>
          <w:color w:val="auto"/>
          <w:sz w:val="72"/>
          <w:szCs w:val="72"/>
          <w:highlight w:val="none"/>
        </w:rPr>
        <w:t>采 购 文 件</w:t>
      </w:r>
    </w:p>
    <w:p>
      <w:pPr>
        <w:spacing w:line="400" w:lineRule="atLeast"/>
        <w:jc w:val="center"/>
        <w:rPr>
          <w:rFonts w:ascii="新宋体" w:hAnsi="新宋体" w:eastAsia="新宋体" w:cs="新宋体"/>
          <w:b/>
          <w:color w:val="auto"/>
          <w:sz w:val="52"/>
          <w:highlight w:val="none"/>
        </w:rPr>
      </w:pPr>
    </w:p>
    <w:p>
      <w:pPr>
        <w:spacing w:line="400" w:lineRule="atLeast"/>
        <w:jc w:val="center"/>
        <w:rPr>
          <w:rFonts w:ascii="新宋体" w:hAnsi="新宋体" w:eastAsia="新宋体" w:cs="新宋体"/>
          <w:b/>
          <w:color w:val="auto"/>
          <w:sz w:val="52"/>
          <w:highlight w:val="none"/>
        </w:rPr>
      </w:pPr>
    </w:p>
    <w:p>
      <w:pPr>
        <w:spacing w:line="400" w:lineRule="atLeast"/>
        <w:jc w:val="center"/>
        <w:rPr>
          <w:rFonts w:ascii="新宋体" w:hAnsi="新宋体" w:eastAsia="新宋体" w:cs="新宋体"/>
          <w:b/>
          <w:color w:val="auto"/>
          <w:sz w:val="52"/>
          <w:highlight w:val="none"/>
        </w:rPr>
      </w:pPr>
    </w:p>
    <w:p>
      <w:pPr>
        <w:tabs>
          <w:tab w:val="left" w:pos="4860"/>
        </w:tabs>
        <w:spacing w:line="600" w:lineRule="exact"/>
        <w:ind w:right="1143" w:firstLine="2224" w:firstLineChars="616"/>
        <w:jc w:val="left"/>
        <w:rPr>
          <w:rFonts w:hint="eastAsia" w:ascii="新宋体" w:hAnsi="新宋体" w:eastAsia="新宋体" w:cs="新宋体"/>
          <w:b/>
          <w:color w:val="auto"/>
          <w:sz w:val="28"/>
          <w:szCs w:val="28"/>
          <w:highlight w:val="none"/>
          <w:lang w:eastAsia="zh-CN"/>
        </w:rPr>
      </w:pPr>
      <w:r>
        <w:rPr>
          <w:rFonts w:hint="eastAsia" w:ascii="新宋体" w:hAnsi="新宋体" w:eastAsia="新宋体" w:cs="新宋体"/>
          <w:b/>
          <w:color w:val="auto"/>
          <w:spacing w:val="40"/>
          <w:sz w:val="28"/>
          <w:szCs w:val="28"/>
          <w:highlight w:val="none"/>
        </w:rPr>
        <w:t>项目编号：</w:t>
      </w:r>
      <w:r>
        <w:rPr>
          <w:rFonts w:hint="eastAsia" w:ascii="新宋体" w:hAnsi="新宋体" w:eastAsia="新宋体" w:cs="新宋体"/>
          <w:b/>
          <w:color w:val="auto"/>
          <w:spacing w:val="40"/>
          <w:sz w:val="28"/>
          <w:szCs w:val="28"/>
          <w:highlight w:val="none"/>
          <w:lang w:eastAsia="zh-CN"/>
        </w:rPr>
        <w:t>WGSS-CFJT-Z-2023041</w:t>
      </w:r>
    </w:p>
    <w:p>
      <w:pPr>
        <w:tabs>
          <w:tab w:val="left" w:pos="2100"/>
          <w:tab w:val="left" w:pos="4860"/>
        </w:tabs>
        <w:spacing w:line="600" w:lineRule="exact"/>
        <w:ind w:left="4509" w:leftChars="1050" w:right="1143" w:hanging="2304" w:hangingChars="638"/>
        <w:jc w:val="left"/>
        <w:rPr>
          <w:rFonts w:hint="eastAsia" w:ascii="新宋体" w:hAnsi="新宋体" w:eastAsia="新宋体" w:cs="新宋体"/>
          <w:b/>
          <w:color w:val="auto"/>
          <w:sz w:val="28"/>
          <w:szCs w:val="28"/>
          <w:highlight w:val="none"/>
          <w:lang w:eastAsia="zh-CN"/>
        </w:rPr>
      </w:pPr>
      <w:r>
        <w:rPr>
          <w:rFonts w:hint="eastAsia" w:ascii="新宋体" w:hAnsi="新宋体" w:eastAsia="新宋体" w:cs="新宋体"/>
          <w:b/>
          <w:color w:val="auto"/>
          <w:spacing w:val="40"/>
          <w:sz w:val="28"/>
          <w:szCs w:val="28"/>
          <w:highlight w:val="none"/>
        </w:rPr>
        <w:t>项目名称：</w:t>
      </w:r>
      <w:r>
        <w:rPr>
          <w:rFonts w:hint="eastAsia" w:ascii="新宋体" w:hAnsi="新宋体" w:eastAsia="新宋体" w:cs="新宋体"/>
          <w:b/>
          <w:color w:val="auto"/>
          <w:sz w:val="28"/>
          <w:szCs w:val="28"/>
          <w:highlight w:val="none"/>
          <w:lang w:eastAsia="zh-CN"/>
        </w:rPr>
        <w:t>铣刨料破碎筛分设备采购</w:t>
      </w:r>
    </w:p>
    <w:p>
      <w:pPr>
        <w:tabs>
          <w:tab w:val="left" w:pos="4860"/>
        </w:tabs>
        <w:spacing w:line="600" w:lineRule="exact"/>
        <w:ind w:right="1143" w:firstLine="2224" w:firstLineChars="616"/>
        <w:jc w:val="left"/>
        <w:rPr>
          <w:rFonts w:ascii="新宋体" w:hAnsi="新宋体" w:eastAsia="新宋体" w:cs="新宋体"/>
          <w:b/>
          <w:color w:val="auto"/>
          <w:spacing w:val="40"/>
          <w:sz w:val="28"/>
          <w:szCs w:val="28"/>
          <w:highlight w:val="none"/>
        </w:rPr>
      </w:pPr>
      <w:r>
        <w:rPr>
          <w:rFonts w:hint="eastAsia" w:ascii="新宋体" w:hAnsi="新宋体" w:eastAsia="新宋体" w:cs="新宋体"/>
          <w:b/>
          <w:color w:val="auto"/>
          <w:spacing w:val="40"/>
          <w:sz w:val="28"/>
          <w:szCs w:val="28"/>
          <w:highlight w:val="none"/>
        </w:rPr>
        <w:t>采购方式：公 开 招 标</w:t>
      </w:r>
    </w:p>
    <w:p>
      <w:pPr>
        <w:spacing w:line="400" w:lineRule="atLeast"/>
        <w:rPr>
          <w:rFonts w:ascii="新宋体" w:hAnsi="新宋体" w:eastAsia="新宋体" w:cs="新宋体"/>
          <w:b/>
          <w:color w:val="auto"/>
          <w:sz w:val="52"/>
          <w:highlight w:val="none"/>
        </w:rPr>
      </w:pPr>
    </w:p>
    <w:p>
      <w:pPr>
        <w:spacing w:line="400" w:lineRule="atLeast"/>
        <w:jc w:val="center"/>
        <w:rPr>
          <w:rFonts w:ascii="新宋体" w:hAnsi="新宋体" w:eastAsia="新宋体" w:cs="新宋体"/>
          <w:b/>
          <w:color w:val="auto"/>
          <w:sz w:val="52"/>
          <w:highlight w:val="none"/>
        </w:rPr>
      </w:pPr>
    </w:p>
    <w:p>
      <w:pPr>
        <w:spacing w:line="400" w:lineRule="atLeast"/>
        <w:jc w:val="center"/>
        <w:rPr>
          <w:rFonts w:ascii="新宋体" w:hAnsi="新宋体" w:eastAsia="新宋体" w:cs="新宋体"/>
          <w:b/>
          <w:color w:val="auto"/>
          <w:sz w:val="52"/>
          <w:highlight w:val="none"/>
        </w:rPr>
      </w:pPr>
    </w:p>
    <w:p>
      <w:pPr>
        <w:spacing w:line="600" w:lineRule="exact"/>
        <w:ind w:firstLine="2159" w:firstLineChars="717"/>
        <w:rPr>
          <w:rFonts w:ascii="新宋体" w:hAnsi="新宋体" w:eastAsia="新宋体" w:cs="新宋体"/>
          <w:b/>
          <w:color w:val="auto"/>
          <w:sz w:val="30"/>
          <w:szCs w:val="30"/>
          <w:highlight w:val="none"/>
        </w:rPr>
      </w:pPr>
    </w:p>
    <w:p>
      <w:pPr>
        <w:pStyle w:val="17"/>
        <w:ind w:firstLine="200"/>
        <w:rPr>
          <w:rFonts w:ascii="新宋体" w:hAnsi="新宋体" w:eastAsia="新宋体"/>
          <w:color w:val="auto"/>
          <w:highlight w:val="none"/>
        </w:rPr>
      </w:pPr>
    </w:p>
    <w:p>
      <w:pPr>
        <w:spacing w:line="600" w:lineRule="exact"/>
        <w:ind w:firstLine="2159" w:firstLineChars="717"/>
        <w:rPr>
          <w:rFonts w:ascii="新宋体" w:hAnsi="新宋体" w:eastAsia="新宋体" w:cs="新宋体"/>
          <w:b/>
          <w:color w:val="auto"/>
          <w:sz w:val="30"/>
          <w:szCs w:val="30"/>
          <w:highlight w:val="none"/>
        </w:rPr>
      </w:pPr>
      <w:r>
        <w:rPr>
          <w:rFonts w:hint="eastAsia" w:ascii="新宋体" w:hAnsi="新宋体" w:eastAsia="新宋体" w:cs="新宋体"/>
          <w:b/>
          <w:color w:val="auto"/>
          <w:sz w:val="30"/>
          <w:szCs w:val="30"/>
          <w:highlight w:val="none"/>
        </w:rPr>
        <w:t>采 购 人：</w:t>
      </w:r>
      <w:r>
        <w:rPr>
          <w:rFonts w:hint="eastAsia" w:ascii="新宋体" w:hAnsi="新宋体" w:eastAsia="新宋体" w:cs="新宋体"/>
          <w:b/>
          <w:color w:val="auto"/>
          <w:sz w:val="30"/>
          <w:szCs w:val="30"/>
          <w:highlight w:val="none"/>
          <w:lang w:eastAsia="zh-CN"/>
        </w:rPr>
        <w:t>温州瓯发市政工程有限公司</w:t>
      </w:r>
      <w:r>
        <w:rPr>
          <w:rFonts w:hint="eastAsia" w:ascii="新宋体" w:hAnsi="新宋体" w:eastAsia="新宋体" w:cs="新宋体"/>
          <w:b/>
          <w:color w:val="auto"/>
          <w:sz w:val="30"/>
          <w:szCs w:val="30"/>
          <w:highlight w:val="none"/>
        </w:rPr>
        <w:t xml:space="preserve"> </w:t>
      </w:r>
    </w:p>
    <w:p>
      <w:pPr>
        <w:spacing w:line="600" w:lineRule="exact"/>
        <w:ind w:firstLine="2159" w:firstLineChars="717"/>
        <w:rPr>
          <w:rFonts w:ascii="新宋体" w:hAnsi="新宋体" w:eastAsia="新宋体" w:cs="新宋体"/>
          <w:b/>
          <w:color w:val="auto"/>
          <w:spacing w:val="40"/>
          <w:sz w:val="30"/>
          <w:szCs w:val="30"/>
          <w:highlight w:val="none"/>
        </w:rPr>
      </w:pPr>
      <w:r>
        <w:rPr>
          <w:rFonts w:hint="eastAsia" w:ascii="新宋体" w:hAnsi="新宋体" w:eastAsia="新宋体" w:cs="新宋体"/>
          <w:b/>
          <w:color w:val="auto"/>
          <w:sz w:val="30"/>
          <w:szCs w:val="30"/>
          <w:highlight w:val="none"/>
        </w:rPr>
        <w:t>采购代理</w:t>
      </w:r>
      <w:r>
        <w:rPr>
          <w:rFonts w:hint="eastAsia" w:ascii="新宋体" w:hAnsi="新宋体" w:eastAsia="新宋体" w:cs="新宋体"/>
          <w:b/>
          <w:color w:val="auto"/>
          <w:sz w:val="30"/>
          <w:szCs w:val="30"/>
          <w:highlight w:val="none"/>
          <w:lang w:val="en-US" w:eastAsia="zh-CN"/>
        </w:rPr>
        <w:t>机构</w:t>
      </w:r>
      <w:r>
        <w:rPr>
          <w:rFonts w:hint="eastAsia" w:ascii="新宋体" w:hAnsi="新宋体" w:eastAsia="新宋体" w:cs="新宋体"/>
          <w:b/>
          <w:color w:val="auto"/>
          <w:sz w:val="30"/>
          <w:szCs w:val="30"/>
          <w:highlight w:val="none"/>
        </w:rPr>
        <w:t>：温州市智信招标代理有限公司</w:t>
      </w:r>
    </w:p>
    <w:p>
      <w:pPr>
        <w:spacing w:line="600" w:lineRule="exact"/>
        <w:jc w:val="center"/>
        <w:rPr>
          <w:rFonts w:ascii="新宋体" w:hAnsi="新宋体" w:eastAsia="新宋体" w:cs="新宋体"/>
          <w:b/>
          <w:color w:val="auto"/>
          <w:spacing w:val="40"/>
          <w:sz w:val="30"/>
          <w:szCs w:val="30"/>
          <w:highlight w:val="none"/>
        </w:rPr>
      </w:pPr>
      <w:r>
        <w:rPr>
          <w:rFonts w:hint="eastAsia" w:ascii="新宋体" w:hAnsi="新宋体" w:eastAsia="新宋体" w:cs="新宋体"/>
          <w:b/>
          <w:color w:val="auto"/>
          <w:spacing w:val="40"/>
          <w:sz w:val="30"/>
          <w:szCs w:val="30"/>
          <w:highlight w:val="none"/>
        </w:rPr>
        <w:t>二〇二</w:t>
      </w:r>
      <w:r>
        <w:rPr>
          <w:rFonts w:hint="eastAsia" w:ascii="新宋体" w:hAnsi="新宋体" w:eastAsia="新宋体" w:cs="新宋体"/>
          <w:b/>
          <w:color w:val="auto"/>
          <w:spacing w:val="40"/>
          <w:sz w:val="30"/>
          <w:szCs w:val="30"/>
          <w:highlight w:val="none"/>
          <w:lang w:val="en-US" w:eastAsia="zh-CN"/>
        </w:rPr>
        <w:t>三</w:t>
      </w:r>
      <w:r>
        <w:rPr>
          <w:rFonts w:hint="eastAsia" w:ascii="新宋体" w:hAnsi="新宋体" w:eastAsia="新宋体" w:cs="新宋体"/>
          <w:b/>
          <w:color w:val="auto"/>
          <w:spacing w:val="40"/>
          <w:sz w:val="30"/>
          <w:szCs w:val="30"/>
          <w:highlight w:val="none"/>
        </w:rPr>
        <w:t>年</w:t>
      </w:r>
      <w:r>
        <w:rPr>
          <w:rFonts w:hint="eastAsia" w:ascii="新宋体" w:hAnsi="新宋体" w:eastAsia="新宋体" w:cs="新宋体"/>
          <w:b/>
          <w:color w:val="auto"/>
          <w:spacing w:val="40"/>
          <w:sz w:val="30"/>
          <w:szCs w:val="30"/>
          <w:highlight w:val="none"/>
          <w:lang w:val="en-US" w:eastAsia="zh-CN"/>
        </w:rPr>
        <w:t>七</w:t>
      </w:r>
      <w:r>
        <w:rPr>
          <w:rFonts w:hint="eastAsia" w:ascii="新宋体" w:hAnsi="新宋体" w:eastAsia="新宋体" w:cs="新宋体"/>
          <w:b/>
          <w:color w:val="auto"/>
          <w:spacing w:val="40"/>
          <w:sz w:val="30"/>
          <w:szCs w:val="30"/>
          <w:highlight w:val="none"/>
        </w:rPr>
        <w:t>月</w:t>
      </w:r>
    </w:p>
    <w:p>
      <w:pPr>
        <w:spacing w:line="600" w:lineRule="exact"/>
        <w:jc w:val="center"/>
        <w:rPr>
          <w:rFonts w:ascii="新宋体" w:hAnsi="新宋体" w:eastAsia="新宋体" w:cs="新宋体"/>
          <w:b/>
          <w:bCs/>
          <w:color w:val="auto"/>
          <w:sz w:val="32"/>
          <w:szCs w:val="32"/>
          <w:highlight w:val="none"/>
        </w:rPr>
        <w:sectPr>
          <w:headerReference r:id="rId5" w:type="first"/>
          <w:headerReference r:id="rId3" w:type="default"/>
          <w:footerReference r:id="rId6" w:type="default"/>
          <w:headerReference r:id="rId4" w:type="even"/>
          <w:footerReference r:id="rId7" w:type="even"/>
          <w:pgSz w:w="11900" w:h="16840"/>
          <w:pgMar w:top="1134" w:right="1134" w:bottom="1134" w:left="1134" w:header="850" w:footer="850" w:gutter="0"/>
          <w:cols w:space="720" w:num="1"/>
          <w:titlePg/>
          <w:docGrid w:linePitch="360" w:charSpace="0"/>
        </w:sectPr>
      </w:pPr>
    </w:p>
    <w:p>
      <w:pPr>
        <w:spacing w:line="600" w:lineRule="exact"/>
        <w:jc w:val="center"/>
        <w:rPr>
          <w:rFonts w:ascii="新宋体" w:hAnsi="新宋体" w:eastAsia="新宋体" w:cs="新宋体"/>
          <w:b/>
          <w:bCs/>
          <w:color w:val="auto"/>
          <w:sz w:val="32"/>
          <w:szCs w:val="32"/>
          <w:highlight w:val="none"/>
        </w:rPr>
      </w:pPr>
      <w:r>
        <w:rPr>
          <w:rFonts w:hint="eastAsia" w:ascii="新宋体" w:hAnsi="新宋体" w:eastAsia="新宋体" w:cs="新宋体"/>
          <w:b/>
          <w:bCs/>
          <w:color w:val="auto"/>
          <w:sz w:val="32"/>
          <w:szCs w:val="32"/>
          <w:highlight w:val="none"/>
        </w:rPr>
        <w:t>目    录</w:t>
      </w:r>
    </w:p>
    <w:p>
      <w:pPr>
        <w:pStyle w:val="17"/>
        <w:ind w:firstLine="200"/>
        <w:rPr>
          <w:rFonts w:ascii="新宋体" w:hAnsi="新宋体" w:eastAsia="新宋体"/>
          <w:color w:val="auto"/>
          <w:highlight w:val="none"/>
        </w:rPr>
      </w:pPr>
    </w:p>
    <w:p>
      <w:pPr>
        <w:pStyle w:val="13"/>
        <w:tabs>
          <w:tab w:val="right" w:leader="dot" w:pos="9660"/>
          <w:tab w:val="clear" w:pos="9628"/>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TOC \o "1-3" \h \z \u </w:instrText>
      </w:r>
      <w:r>
        <w:rPr>
          <w:rFonts w:hint="eastAsia" w:ascii="宋体" w:hAnsi="宋体" w:eastAsia="宋体" w:cs="宋体"/>
          <w:color w:val="auto"/>
          <w:sz w:val="22"/>
          <w:szCs w:val="22"/>
          <w:highlight w:val="none"/>
        </w:rPr>
        <w:fldChar w:fldCharType="separate"/>
      </w:r>
      <w:r>
        <w:rPr>
          <w:color w:val="auto"/>
          <w:highlight w:val="none"/>
        </w:rPr>
        <w:fldChar w:fldCharType="begin"/>
      </w:r>
      <w:r>
        <w:rPr>
          <w:color w:val="auto"/>
          <w:highlight w:val="none"/>
        </w:rPr>
        <w:instrText xml:space="preserve"> HYPERLINK \l "_Toc32649" </w:instrText>
      </w:r>
      <w:r>
        <w:rPr>
          <w:color w:val="auto"/>
          <w:highlight w:val="none"/>
        </w:rPr>
        <w:fldChar w:fldCharType="separate"/>
      </w:r>
      <w:r>
        <w:rPr>
          <w:rFonts w:hint="eastAsia" w:ascii="宋体" w:hAnsi="宋体" w:eastAsia="宋体" w:cs="宋体"/>
          <w:color w:val="auto"/>
          <w:sz w:val="22"/>
          <w:szCs w:val="22"/>
          <w:highlight w:val="none"/>
        </w:rPr>
        <w:t>温州市城发集团所属</w:t>
      </w:r>
      <w:r>
        <w:rPr>
          <w:rFonts w:hint="eastAsia" w:ascii="宋体" w:hAnsi="宋体" w:eastAsia="宋体" w:cs="宋体"/>
          <w:color w:val="auto"/>
          <w:sz w:val="22"/>
          <w:szCs w:val="22"/>
          <w:highlight w:val="none"/>
          <w:lang w:eastAsia="zh-CN"/>
        </w:rPr>
        <w:t>温州瓯发市政工程有限公司</w:t>
      </w:r>
      <w:r>
        <w:rPr>
          <w:rFonts w:hint="eastAsia" w:ascii="宋体" w:hAnsi="宋体" w:eastAsia="宋体" w:cs="宋体"/>
          <w:color w:val="auto"/>
          <w:sz w:val="22"/>
          <w:szCs w:val="22"/>
          <w:highlight w:val="none"/>
        </w:rPr>
        <w:t>关于</w:t>
      </w:r>
      <w:r>
        <w:rPr>
          <w:rFonts w:hint="eastAsia" w:ascii="宋体" w:hAnsi="宋体" w:eastAsia="宋体" w:cs="宋体"/>
          <w:color w:val="auto"/>
          <w:sz w:val="22"/>
          <w:szCs w:val="22"/>
          <w:highlight w:val="none"/>
          <w:lang w:eastAsia="zh-CN"/>
        </w:rPr>
        <w:t>铣刨料破碎筛分设备采购</w:t>
      </w:r>
      <w:r>
        <w:rPr>
          <w:rFonts w:hint="eastAsia" w:ascii="宋体" w:hAnsi="宋体" w:eastAsia="宋体" w:cs="宋体"/>
          <w:color w:val="auto"/>
          <w:sz w:val="22"/>
          <w:szCs w:val="22"/>
          <w:highlight w:val="none"/>
        </w:rPr>
        <w:t>项目（自主）的采购公告</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_Toc32649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pPr>
        <w:pStyle w:val="13"/>
        <w:tabs>
          <w:tab w:val="right" w:leader="dot" w:pos="9660"/>
          <w:tab w:val="clear" w:pos="9628"/>
        </w:tabs>
        <w:rPr>
          <w:rFonts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"_Toc29682" </w:instrText>
      </w:r>
      <w:r>
        <w:rPr>
          <w:color w:val="auto"/>
          <w:highlight w:val="none"/>
        </w:rPr>
        <w:fldChar w:fldCharType="separate"/>
      </w:r>
      <w:r>
        <w:rPr>
          <w:rFonts w:hint="eastAsia" w:ascii="宋体" w:hAnsi="宋体" w:eastAsia="宋体" w:cs="宋体"/>
          <w:color w:val="auto"/>
          <w:sz w:val="22"/>
          <w:szCs w:val="22"/>
          <w:highlight w:val="none"/>
        </w:rPr>
        <w:t>温州市城发集团所属</w:t>
      </w:r>
      <w:r>
        <w:rPr>
          <w:rFonts w:hint="eastAsia" w:ascii="宋体" w:hAnsi="宋体" w:eastAsia="宋体" w:cs="宋体"/>
          <w:color w:val="auto"/>
          <w:sz w:val="22"/>
          <w:szCs w:val="22"/>
          <w:highlight w:val="none"/>
          <w:lang w:eastAsia="zh-CN"/>
        </w:rPr>
        <w:t>温州瓯发市政工程有限公司</w:t>
      </w:r>
      <w:r>
        <w:rPr>
          <w:rFonts w:hint="eastAsia" w:ascii="宋体" w:hAnsi="宋体" w:eastAsia="宋体" w:cs="宋体"/>
          <w:color w:val="auto"/>
          <w:sz w:val="22"/>
          <w:szCs w:val="22"/>
          <w:highlight w:val="none"/>
        </w:rPr>
        <w:t>关于</w:t>
      </w:r>
      <w:r>
        <w:rPr>
          <w:rFonts w:hint="eastAsia" w:ascii="宋体" w:hAnsi="宋体" w:eastAsia="宋体" w:cs="宋体"/>
          <w:color w:val="auto"/>
          <w:sz w:val="22"/>
          <w:szCs w:val="22"/>
          <w:highlight w:val="none"/>
          <w:lang w:eastAsia="zh-CN"/>
        </w:rPr>
        <w:t>铣刨料破碎筛分设备采购</w:t>
      </w:r>
      <w:r>
        <w:rPr>
          <w:rFonts w:hint="eastAsia" w:ascii="宋体" w:hAnsi="宋体" w:eastAsia="宋体" w:cs="宋体"/>
          <w:color w:val="auto"/>
          <w:sz w:val="22"/>
          <w:szCs w:val="22"/>
          <w:highlight w:val="none"/>
        </w:rPr>
        <w:t>项目（自主）的征求意见公示</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_Toc29682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6</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pPr>
        <w:pStyle w:val="13"/>
        <w:tabs>
          <w:tab w:val="right" w:leader="dot" w:pos="9660"/>
          <w:tab w:val="clear" w:pos="9628"/>
        </w:tabs>
        <w:rPr>
          <w:rFonts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"_Toc2956" </w:instrText>
      </w:r>
      <w:r>
        <w:rPr>
          <w:color w:val="auto"/>
          <w:highlight w:val="none"/>
        </w:rPr>
        <w:fldChar w:fldCharType="separate"/>
      </w:r>
      <w:r>
        <w:rPr>
          <w:rFonts w:hint="eastAsia" w:ascii="宋体" w:hAnsi="宋体" w:eastAsia="宋体" w:cs="宋体"/>
          <w:color w:val="auto"/>
          <w:sz w:val="22"/>
          <w:szCs w:val="22"/>
          <w:highlight w:val="none"/>
        </w:rPr>
        <w:t>投标人须知前附表</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_Toc2956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7</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pPr>
        <w:pStyle w:val="13"/>
        <w:tabs>
          <w:tab w:val="right" w:leader="dot" w:pos="9660"/>
          <w:tab w:val="clear" w:pos="9628"/>
        </w:tabs>
        <w:rPr>
          <w:rFonts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"_Toc20590" </w:instrText>
      </w:r>
      <w:r>
        <w:rPr>
          <w:color w:val="auto"/>
          <w:highlight w:val="none"/>
        </w:rPr>
        <w:fldChar w:fldCharType="separate"/>
      </w:r>
      <w:r>
        <w:rPr>
          <w:rFonts w:hint="eastAsia" w:ascii="宋体" w:hAnsi="宋体" w:eastAsia="宋体" w:cs="宋体"/>
          <w:color w:val="auto"/>
          <w:sz w:val="22"/>
          <w:szCs w:val="22"/>
          <w:highlight w:val="none"/>
        </w:rPr>
        <w:t>第一部分   投标人须知</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_Toc20590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10</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pPr>
        <w:pStyle w:val="13"/>
        <w:tabs>
          <w:tab w:val="right" w:leader="dot" w:pos="9660"/>
          <w:tab w:val="clear" w:pos="9628"/>
        </w:tabs>
        <w:rPr>
          <w:rFonts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"_Toc24612" </w:instrText>
      </w:r>
      <w:r>
        <w:rPr>
          <w:color w:val="auto"/>
          <w:highlight w:val="none"/>
        </w:rPr>
        <w:fldChar w:fldCharType="separate"/>
      </w:r>
      <w:r>
        <w:rPr>
          <w:rFonts w:hint="eastAsia" w:ascii="宋体" w:hAnsi="宋体" w:eastAsia="宋体" w:cs="宋体"/>
          <w:color w:val="auto"/>
          <w:sz w:val="22"/>
          <w:szCs w:val="22"/>
          <w:highlight w:val="none"/>
        </w:rPr>
        <w:t>一、  说明</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_Toc24612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10</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pPr>
        <w:pStyle w:val="13"/>
        <w:tabs>
          <w:tab w:val="right" w:leader="dot" w:pos="9660"/>
          <w:tab w:val="clear" w:pos="9628"/>
        </w:tabs>
        <w:rPr>
          <w:rFonts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"_Toc20896" </w:instrText>
      </w:r>
      <w:r>
        <w:rPr>
          <w:color w:val="auto"/>
          <w:highlight w:val="none"/>
        </w:rPr>
        <w:fldChar w:fldCharType="separate"/>
      </w:r>
      <w:r>
        <w:rPr>
          <w:rFonts w:hint="eastAsia" w:ascii="宋体" w:hAnsi="宋体" w:eastAsia="宋体" w:cs="宋体"/>
          <w:color w:val="auto"/>
          <w:sz w:val="22"/>
          <w:szCs w:val="22"/>
          <w:highlight w:val="none"/>
        </w:rPr>
        <w:t>二、 采购文件</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_Toc20896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10</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pPr>
        <w:pStyle w:val="13"/>
        <w:tabs>
          <w:tab w:val="right" w:leader="dot" w:pos="9660"/>
          <w:tab w:val="clear" w:pos="9628"/>
        </w:tabs>
        <w:rPr>
          <w:rFonts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"_Toc10305" </w:instrText>
      </w:r>
      <w:r>
        <w:rPr>
          <w:color w:val="auto"/>
          <w:highlight w:val="none"/>
        </w:rPr>
        <w:fldChar w:fldCharType="separate"/>
      </w:r>
      <w:r>
        <w:rPr>
          <w:rFonts w:hint="eastAsia" w:ascii="宋体" w:hAnsi="宋体" w:eastAsia="宋体" w:cs="宋体"/>
          <w:color w:val="auto"/>
          <w:sz w:val="22"/>
          <w:szCs w:val="22"/>
          <w:highlight w:val="none"/>
        </w:rPr>
        <w:t>三、 投标文件的编制</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_Toc10305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10</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pPr>
        <w:pStyle w:val="13"/>
        <w:tabs>
          <w:tab w:val="right" w:leader="dot" w:pos="9660"/>
          <w:tab w:val="clear" w:pos="9628"/>
        </w:tabs>
        <w:rPr>
          <w:rFonts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"_Toc15440" </w:instrText>
      </w:r>
      <w:r>
        <w:rPr>
          <w:color w:val="auto"/>
          <w:highlight w:val="none"/>
        </w:rPr>
        <w:fldChar w:fldCharType="separate"/>
      </w:r>
      <w:r>
        <w:rPr>
          <w:rFonts w:hint="eastAsia" w:ascii="宋体" w:hAnsi="宋体" w:eastAsia="宋体" w:cs="宋体"/>
          <w:color w:val="auto"/>
          <w:sz w:val="22"/>
          <w:szCs w:val="22"/>
          <w:highlight w:val="none"/>
        </w:rPr>
        <w:t>四、 投标文件的递交</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_Toc15440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14</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pPr>
        <w:pStyle w:val="13"/>
        <w:tabs>
          <w:tab w:val="right" w:leader="dot" w:pos="9660"/>
          <w:tab w:val="clear" w:pos="9628"/>
        </w:tabs>
        <w:rPr>
          <w:rFonts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"_Toc11453" </w:instrText>
      </w:r>
      <w:r>
        <w:rPr>
          <w:color w:val="auto"/>
          <w:highlight w:val="none"/>
        </w:rPr>
        <w:fldChar w:fldCharType="separate"/>
      </w:r>
      <w:r>
        <w:rPr>
          <w:rFonts w:hint="eastAsia" w:ascii="宋体" w:hAnsi="宋体" w:eastAsia="宋体" w:cs="宋体"/>
          <w:color w:val="auto"/>
          <w:sz w:val="22"/>
          <w:szCs w:val="22"/>
          <w:highlight w:val="none"/>
        </w:rPr>
        <w:t>五、 开标和评标</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_Toc11453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14</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pPr>
        <w:pStyle w:val="13"/>
        <w:tabs>
          <w:tab w:val="right" w:leader="dot" w:pos="9660"/>
          <w:tab w:val="clear" w:pos="9628"/>
        </w:tabs>
        <w:rPr>
          <w:rFonts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"_Toc14427" </w:instrText>
      </w:r>
      <w:r>
        <w:rPr>
          <w:color w:val="auto"/>
          <w:highlight w:val="none"/>
        </w:rPr>
        <w:fldChar w:fldCharType="separate"/>
      </w:r>
      <w:r>
        <w:rPr>
          <w:rFonts w:hint="eastAsia" w:ascii="宋体" w:hAnsi="宋体" w:eastAsia="宋体" w:cs="宋体"/>
          <w:color w:val="auto"/>
          <w:sz w:val="22"/>
          <w:szCs w:val="22"/>
          <w:highlight w:val="none"/>
        </w:rPr>
        <w:t>六、 授予合同</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_Toc14427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17</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pPr>
        <w:pStyle w:val="13"/>
        <w:tabs>
          <w:tab w:val="right" w:leader="dot" w:pos="9660"/>
          <w:tab w:val="clear" w:pos="9628"/>
        </w:tabs>
        <w:rPr>
          <w:rFonts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"_Toc5826" </w:instrText>
      </w:r>
      <w:r>
        <w:rPr>
          <w:color w:val="auto"/>
          <w:highlight w:val="none"/>
        </w:rPr>
        <w:fldChar w:fldCharType="separate"/>
      </w:r>
      <w:r>
        <w:rPr>
          <w:rFonts w:hint="eastAsia" w:ascii="宋体" w:hAnsi="宋体" w:eastAsia="宋体" w:cs="宋体"/>
          <w:color w:val="auto"/>
          <w:sz w:val="22"/>
          <w:szCs w:val="22"/>
          <w:highlight w:val="none"/>
        </w:rPr>
        <w:t>第二部分   合同格式及合同主要条款</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_Toc5826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19</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pPr>
        <w:pStyle w:val="13"/>
        <w:tabs>
          <w:tab w:val="right" w:leader="dot" w:pos="9660"/>
          <w:tab w:val="clear" w:pos="9628"/>
        </w:tabs>
        <w:rPr>
          <w:rFonts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"_Toc28668" </w:instrText>
      </w:r>
      <w:r>
        <w:rPr>
          <w:color w:val="auto"/>
          <w:highlight w:val="none"/>
        </w:rPr>
        <w:fldChar w:fldCharType="separate"/>
      </w:r>
      <w:r>
        <w:rPr>
          <w:rFonts w:hint="eastAsia" w:ascii="宋体" w:hAnsi="宋体" w:eastAsia="宋体" w:cs="宋体"/>
          <w:color w:val="auto"/>
          <w:sz w:val="22"/>
          <w:szCs w:val="22"/>
          <w:highlight w:val="none"/>
        </w:rPr>
        <w:t>第三部分   投标文件格式</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_Toc28668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20</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pPr>
        <w:pStyle w:val="13"/>
        <w:tabs>
          <w:tab w:val="right" w:leader="dot" w:pos="9660"/>
          <w:tab w:val="clear" w:pos="9628"/>
        </w:tabs>
        <w:rPr>
          <w:rFonts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"_Toc24174" </w:instrText>
      </w:r>
      <w:r>
        <w:rPr>
          <w:color w:val="auto"/>
          <w:highlight w:val="none"/>
        </w:rPr>
        <w:fldChar w:fldCharType="separate"/>
      </w:r>
      <w:r>
        <w:rPr>
          <w:rFonts w:hint="eastAsia" w:ascii="宋体" w:hAnsi="宋体" w:eastAsia="宋体" w:cs="宋体"/>
          <w:color w:val="auto"/>
          <w:sz w:val="22"/>
          <w:szCs w:val="22"/>
          <w:highlight w:val="none"/>
        </w:rPr>
        <w:t>第四部分   采购内容及要求</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_Toc24174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43</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pPr>
        <w:pStyle w:val="13"/>
        <w:tabs>
          <w:tab w:val="right" w:leader="dot" w:pos="9660"/>
          <w:tab w:val="clear" w:pos="9628"/>
        </w:tabs>
        <w:rPr>
          <w:rFonts w:ascii="宋体" w:hAnsi="宋体" w:eastAsia="宋体" w:cs="宋体"/>
          <w:color w:val="auto"/>
          <w:sz w:val="22"/>
          <w:szCs w:val="22"/>
          <w:highlight w:val="none"/>
        </w:rPr>
      </w:pPr>
      <w:r>
        <w:rPr>
          <w:color w:val="auto"/>
          <w:highlight w:val="none"/>
        </w:rPr>
        <w:fldChar w:fldCharType="begin"/>
      </w:r>
      <w:r>
        <w:rPr>
          <w:color w:val="auto"/>
          <w:highlight w:val="none"/>
        </w:rPr>
        <w:instrText xml:space="preserve"> HYPERLINK \l "_Toc4002" </w:instrText>
      </w:r>
      <w:r>
        <w:rPr>
          <w:color w:val="auto"/>
          <w:highlight w:val="none"/>
        </w:rPr>
        <w:fldChar w:fldCharType="separate"/>
      </w:r>
      <w:r>
        <w:rPr>
          <w:rFonts w:hint="eastAsia" w:ascii="宋体" w:hAnsi="宋体" w:eastAsia="宋体" w:cs="宋体"/>
          <w:color w:val="auto"/>
          <w:sz w:val="22"/>
          <w:szCs w:val="22"/>
          <w:highlight w:val="none"/>
        </w:rPr>
        <w:t>第五部分   评标原则及方法</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PAGEREF _Toc4002 \h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48</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fldChar w:fldCharType="end"/>
      </w:r>
    </w:p>
    <w:p>
      <w:pPr>
        <w:pStyle w:val="13"/>
        <w:tabs>
          <w:tab w:val="right" w:leader="dot" w:pos="9660"/>
          <w:tab w:val="clear" w:pos="9628"/>
        </w:tabs>
        <w:rPr>
          <w:rFonts w:ascii="新宋体" w:hAnsi="新宋体" w:eastAsia="新宋体" w:cs="新宋体"/>
          <w:b/>
          <w:bCs w:val="0"/>
          <w:color w:val="auto"/>
          <w:sz w:val="22"/>
          <w:szCs w:val="22"/>
          <w:highlight w:val="none"/>
        </w:rPr>
      </w:pPr>
      <w:r>
        <w:rPr>
          <w:rFonts w:hint="eastAsia" w:ascii="宋体" w:hAnsi="宋体" w:eastAsia="宋体" w:cs="宋体"/>
          <w:color w:val="auto"/>
          <w:sz w:val="22"/>
          <w:szCs w:val="22"/>
          <w:highlight w:val="none"/>
        </w:rPr>
        <w:fldChar w:fldCharType="end"/>
      </w:r>
    </w:p>
    <w:p>
      <w:pPr>
        <w:spacing w:line="560" w:lineRule="exac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注：采购文件中加“▲”且加下划线的条款，为采购的实质性要求和条件，着重提醒各投标人注意，并认真查看采购文件中的每一个条款及要求，因误读采购文件而造成的后果，采购人概不负责。</w:t>
      </w:r>
    </w:p>
    <w:p>
      <w:pPr>
        <w:spacing w:line="560" w:lineRule="exact"/>
        <w:rPr>
          <w:rFonts w:ascii="新宋体" w:hAnsi="新宋体" w:eastAsia="新宋体" w:cs="新宋体"/>
          <w:b/>
          <w:bCs/>
          <w:color w:val="auto"/>
          <w:sz w:val="22"/>
          <w:szCs w:val="22"/>
          <w:highlight w:val="none"/>
        </w:rPr>
      </w:pPr>
    </w:p>
    <w:p>
      <w:pPr>
        <w:spacing w:line="480" w:lineRule="auto"/>
        <w:jc w:val="right"/>
        <w:rPr>
          <w:rFonts w:ascii="新宋体" w:hAnsi="新宋体" w:eastAsia="新宋体" w:cs="新宋体"/>
          <w:color w:val="auto"/>
          <w:sz w:val="22"/>
          <w:szCs w:val="22"/>
          <w:highlight w:val="none"/>
        </w:rPr>
      </w:pPr>
    </w:p>
    <w:p>
      <w:pPr>
        <w:pStyle w:val="3"/>
        <w:spacing w:line="360" w:lineRule="auto"/>
        <w:rPr>
          <w:rFonts w:ascii="新宋体" w:hAnsi="新宋体" w:eastAsia="新宋体" w:cs="新宋体"/>
          <w:color w:val="auto"/>
          <w:sz w:val="32"/>
          <w:szCs w:val="32"/>
          <w:highlight w:val="none"/>
        </w:rPr>
      </w:pPr>
      <w:bookmarkStart w:id="0" w:name="_Toc462130148"/>
      <w:bookmarkStart w:id="1" w:name="_Toc434310670"/>
      <w:bookmarkStart w:id="2" w:name="_Toc15028"/>
      <w:r>
        <w:rPr>
          <w:rFonts w:hint="eastAsia" w:ascii="新宋体" w:hAnsi="新宋体" w:eastAsia="新宋体" w:cs="宋体"/>
          <w:color w:val="auto"/>
          <w:sz w:val="32"/>
          <w:szCs w:val="32"/>
          <w:highlight w:val="none"/>
        </w:rPr>
        <w:br w:type="page"/>
      </w:r>
      <w:bookmarkStart w:id="3" w:name="_Toc32649"/>
      <w:bookmarkStart w:id="4" w:name="_Toc71374667"/>
      <w:r>
        <w:rPr>
          <w:rFonts w:hint="eastAsia" w:ascii="新宋体" w:hAnsi="新宋体" w:eastAsia="新宋体" w:cs="宋体"/>
          <w:color w:val="auto"/>
          <w:sz w:val="32"/>
          <w:szCs w:val="32"/>
          <w:highlight w:val="none"/>
        </w:rPr>
        <w:t>温州市城发集团所属</w:t>
      </w:r>
      <w:r>
        <w:rPr>
          <w:rFonts w:hint="eastAsia" w:ascii="新宋体" w:hAnsi="新宋体" w:eastAsia="新宋体" w:cs="宋体"/>
          <w:color w:val="auto"/>
          <w:sz w:val="32"/>
          <w:szCs w:val="32"/>
          <w:highlight w:val="none"/>
          <w:lang w:eastAsia="zh-CN"/>
        </w:rPr>
        <w:t>温州瓯发市政工程有限公司</w:t>
      </w:r>
      <w:r>
        <w:rPr>
          <w:rFonts w:hint="eastAsia" w:ascii="新宋体" w:hAnsi="新宋体" w:eastAsia="新宋体" w:cs="宋体"/>
          <w:color w:val="auto"/>
          <w:sz w:val="32"/>
          <w:szCs w:val="32"/>
          <w:highlight w:val="none"/>
        </w:rPr>
        <w:t>关于</w:t>
      </w:r>
      <w:r>
        <w:rPr>
          <w:rFonts w:hint="eastAsia" w:ascii="新宋体" w:hAnsi="新宋体" w:eastAsia="新宋体" w:cs="新宋体"/>
          <w:color w:val="auto"/>
          <w:sz w:val="32"/>
          <w:szCs w:val="32"/>
          <w:highlight w:val="none"/>
          <w:lang w:eastAsia="zh-CN"/>
        </w:rPr>
        <w:t>铣刨料破碎筛分设备采购</w:t>
      </w:r>
      <w:r>
        <w:rPr>
          <w:rFonts w:hint="eastAsia" w:ascii="新宋体" w:hAnsi="新宋体" w:eastAsia="新宋体" w:cs="新宋体"/>
          <w:color w:val="auto"/>
          <w:sz w:val="32"/>
          <w:szCs w:val="32"/>
          <w:highlight w:val="none"/>
        </w:rPr>
        <w:t>项目（自主）的采购公告</w:t>
      </w:r>
      <w:bookmarkEnd w:id="0"/>
      <w:bookmarkEnd w:id="1"/>
      <w:bookmarkEnd w:id="2"/>
      <w:bookmarkEnd w:id="3"/>
      <w:bookmarkEnd w:id="4"/>
    </w:p>
    <w:p>
      <w:pPr>
        <w:pStyle w:val="17"/>
        <w:spacing w:after="0" w:line="360" w:lineRule="auto"/>
        <w:ind w:firstLine="440" w:firstLineChars="200"/>
        <w:rPr>
          <w:rFonts w:ascii="宋体" w:hAnsi="宋体" w:eastAsia="宋体" w:cs="Yu Mincho Light"/>
          <w:color w:val="auto"/>
          <w:sz w:val="22"/>
          <w:szCs w:val="22"/>
          <w:highlight w:val="none"/>
        </w:rPr>
      </w:pPr>
      <w:r>
        <w:rPr>
          <w:rFonts w:hint="eastAsia" w:ascii="宋体" w:hAnsi="宋体" w:eastAsia="宋体" w:cs="Yu Mincho Light"/>
          <w:color w:val="auto"/>
          <w:sz w:val="22"/>
          <w:szCs w:val="22"/>
          <w:highlight w:val="none"/>
        </w:rPr>
        <w:t>根据《温州市市属国有企业采购管理办法（试行）》等有关规定，温州市智信招标代理有限公司受</w:t>
      </w:r>
      <w:r>
        <w:rPr>
          <w:rFonts w:hint="eastAsia" w:ascii="宋体" w:hAnsi="宋体" w:eastAsia="宋体" w:cs="Yu Mincho Light"/>
          <w:color w:val="auto"/>
          <w:sz w:val="22"/>
          <w:szCs w:val="22"/>
          <w:highlight w:val="none"/>
          <w:lang w:eastAsia="zh-CN"/>
        </w:rPr>
        <w:t>温州瓯发市政工程有限公司</w:t>
      </w:r>
      <w:r>
        <w:rPr>
          <w:rFonts w:hint="eastAsia" w:ascii="宋体" w:hAnsi="宋体" w:eastAsia="宋体" w:cs="Yu Mincho Light"/>
          <w:color w:val="auto"/>
          <w:sz w:val="22"/>
          <w:szCs w:val="22"/>
          <w:highlight w:val="none"/>
        </w:rPr>
        <w:t>委托，就</w:t>
      </w:r>
      <w:r>
        <w:rPr>
          <w:rFonts w:hint="eastAsia" w:ascii="宋体" w:hAnsi="宋体" w:eastAsia="宋体" w:cs="Yu Mincho Light"/>
          <w:color w:val="auto"/>
          <w:sz w:val="22"/>
          <w:szCs w:val="22"/>
          <w:highlight w:val="none"/>
          <w:lang w:eastAsia="zh-CN"/>
        </w:rPr>
        <w:t>铣刨料破碎筛分设备采购</w:t>
      </w:r>
      <w:r>
        <w:rPr>
          <w:rFonts w:hint="eastAsia" w:ascii="宋体" w:hAnsi="宋体" w:eastAsia="宋体" w:cs="Yu Mincho Light"/>
          <w:color w:val="auto"/>
          <w:sz w:val="22"/>
          <w:szCs w:val="22"/>
          <w:highlight w:val="none"/>
        </w:rPr>
        <w:t>项目以公开招标方式进行国企采购，欢迎国内合格的供应商前来投标。</w:t>
      </w:r>
    </w:p>
    <w:p>
      <w:pPr>
        <w:rPr>
          <w:color w:val="auto"/>
          <w:highlight w:val="none"/>
        </w:rPr>
      </w:pPr>
    </w:p>
    <w:p>
      <w:pPr>
        <w:widowControl/>
        <w:spacing w:line="360" w:lineRule="auto"/>
        <w:jc w:val="left"/>
        <w:rPr>
          <w:rFonts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rPr>
        <w:t>一、公告类型：</w:t>
      </w:r>
      <w:r>
        <w:rPr>
          <w:rFonts w:hint="eastAsia" w:ascii="新宋体" w:hAnsi="新宋体" w:eastAsia="新宋体" w:cs="新宋体"/>
          <w:bCs/>
          <w:color w:val="auto"/>
          <w:kern w:val="0"/>
          <w:sz w:val="22"/>
          <w:szCs w:val="22"/>
          <w:highlight w:val="none"/>
        </w:rPr>
        <w:t>采购公告</w:t>
      </w:r>
    </w:p>
    <w:p>
      <w:pPr>
        <w:widowControl/>
        <w:spacing w:line="360" w:lineRule="auto"/>
        <w:jc w:val="left"/>
        <w:rPr>
          <w:rFonts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rPr>
        <w:t>二、采购方式：</w:t>
      </w:r>
      <w:r>
        <w:rPr>
          <w:rFonts w:hint="eastAsia" w:ascii="新宋体" w:hAnsi="新宋体" w:eastAsia="新宋体" w:cs="新宋体"/>
          <w:bCs/>
          <w:color w:val="auto"/>
          <w:kern w:val="0"/>
          <w:sz w:val="22"/>
          <w:szCs w:val="22"/>
          <w:highlight w:val="none"/>
        </w:rPr>
        <w:t>公开招标</w:t>
      </w:r>
    </w:p>
    <w:p>
      <w:pPr>
        <w:widowControl/>
        <w:spacing w:line="360" w:lineRule="auto"/>
        <w:jc w:val="left"/>
        <w:rPr>
          <w:rFonts w:hint="eastAsia" w:ascii="新宋体" w:hAnsi="新宋体" w:eastAsia="新宋体" w:cs="新宋体"/>
          <w:bCs/>
          <w:color w:val="auto"/>
          <w:kern w:val="0"/>
          <w:sz w:val="22"/>
          <w:szCs w:val="22"/>
          <w:highlight w:val="none"/>
          <w:lang w:eastAsia="zh-CN"/>
        </w:rPr>
      </w:pPr>
      <w:r>
        <w:rPr>
          <w:rFonts w:hint="eastAsia" w:ascii="新宋体" w:hAnsi="新宋体" w:eastAsia="新宋体" w:cs="新宋体"/>
          <w:b/>
          <w:bCs/>
          <w:color w:val="auto"/>
          <w:kern w:val="0"/>
          <w:sz w:val="22"/>
          <w:szCs w:val="22"/>
          <w:highlight w:val="none"/>
        </w:rPr>
        <w:t>三、项目编号：</w:t>
      </w:r>
      <w:r>
        <w:rPr>
          <w:rFonts w:hint="eastAsia" w:ascii="新宋体" w:hAnsi="新宋体" w:eastAsia="新宋体" w:cs="新宋体"/>
          <w:b w:val="0"/>
          <w:bCs w:val="0"/>
          <w:color w:val="auto"/>
          <w:kern w:val="0"/>
          <w:sz w:val="22"/>
          <w:szCs w:val="22"/>
          <w:highlight w:val="none"/>
          <w:lang w:eastAsia="zh-CN"/>
        </w:rPr>
        <w:t>WGSS-CFJT-Z-2023041</w:t>
      </w:r>
    </w:p>
    <w:p>
      <w:pPr>
        <w:pStyle w:val="17"/>
        <w:spacing w:after="0" w:line="360" w:lineRule="auto"/>
        <w:ind w:firstLine="0" w:firstLineChars="0"/>
        <w:rPr>
          <w:rFonts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四、项目性质：</w:t>
      </w:r>
      <w:r>
        <w:rPr>
          <w:rFonts w:hint="eastAsia" w:ascii="新宋体" w:hAnsi="新宋体" w:eastAsia="新宋体" w:cs="新宋体"/>
          <w:color w:val="auto"/>
          <w:sz w:val="22"/>
          <w:szCs w:val="22"/>
          <w:highlight w:val="none"/>
        </w:rPr>
        <w:t>国企</w:t>
      </w:r>
      <w:r>
        <w:rPr>
          <w:rFonts w:hint="eastAsia" w:ascii="新宋体" w:hAnsi="新宋体" w:eastAsia="新宋体" w:cs="新宋体"/>
          <w:color w:val="auto"/>
          <w:sz w:val="22"/>
          <w:szCs w:val="22"/>
          <w:highlight w:val="none"/>
          <w:lang w:val="en-US" w:eastAsia="zh-CN"/>
        </w:rPr>
        <w:t>自主</w:t>
      </w:r>
      <w:r>
        <w:rPr>
          <w:rFonts w:hint="eastAsia" w:ascii="新宋体" w:hAnsi="新宋体" w:eastAsia="新宋体" w:cs="新宋体"/>
          <w:color w:val="auto"/>
          <w:sz w:val="22"/>
          <w:szCs w:val="22"/>
          <w:highlight w:val="none"/>
        </w:rPr>
        <w:t>采购（非政府采购）</w:t>
      </w:r>
    </w:p>
    <w:p>
      <w:pPr>
        <w:widowControl/>
        <w:spacing w:line="360" w:lineRule="auto"/>
        <w:jc w:val="left"/>
        <w:rPr>
          <w:rFonts w:hint="eastAsia" w:ascii="新宋体" w:hAnsi="新宋体" w:eastAsia="新宋体" w:cs="新宋体"/>
          <w:b/>
          <w:bCs/>
          <w:color w:val="auto"/>
          <w:kern w:val="0"/>
          <w:sz w:val="22"/>
          <w:szCs w:val="22"/>
          <w:highlight w:val="none"/>
          <w:lang w:eastAsia="zh-CN"/>
        </w:rPr>
      </w:pPr>
      <w:r>
        <w:rPr>
          <w:rFonts w:hint="eastAsia" w:ascii="新宋体" w:hAnsi="新宋体" w:eastAsia="新宋体" w:cs="新宋体"/>
          <w:b/>
          <w:bCs/>
          <w:color w:val="auto"/>
          <w:kern w:val="0"/>
          <w:sz w:val="22"/>
          <w:szCs w:val="22"/>
          <w:highlight w:val="none"/>
        </w:rPr>
        <w:t>五、项目名称：</w:t>
      </w:r>
      <w:r>
        <w:rPr>
          <w:rFonts w:hint="eastAsia" w:ascii="新宋体" w:hAnsi="新宋体" w:eastAsia="新宋体" w:cs="新宋体"/>
          <w:bCs/>
          <w:color w:val="auto"/>
          <w:kern w:val="0"/>
          <w:sz w:val="22"/>
          <w:szCs w:val="22"/>
          <w:highlight w:val="none"/>
          <w:lang w:eastAsia="zh-CN"/>
        </w:rPr>
        <w:t>铣刨料破碎筛分设备采购</w:t>
      </w:r>
    </w:p>
    <w:p>
      <w:pPr>
        <w:widowControl/>
        <w:spacing w:line="360" w:lineRule="auto"/>
        <w:jc w:val="left"/>
        <w:rPr>
          <w:rFonts w:hint="eastAsia" w:ascii="新宋体" w:hAnsi="新宋体" w:eastAsia="新宋体" w:cs="新宋体"/>
          <w:bCs/>
          <w:color w:val="auto"/>
          <w:kern w:val="0"/>
          <w:sz w:val="22"/>
          <w:szCs w:val="22"/>
          <w:highlight w:val="none"/>
          <w:lang w:eastAsia="zh-CN"/>
        </w:rPr>
      </w:pPr>
      <w:r>
        <w:rPr>
          <w:rFonts w:hint="eastAsia" w:ascii="新宋体" w:hAnsi="新宋体" w:eastAsia="新宋体" w:cs="新宋体"/>
          <w:b/>
          <w:bCs/>
          <w:color w:val="auto"/>
          <w:kern w:val="0"/>
          <w:sz w:val="22"/>
          <w:szCs w:val="22"/>
          <w:highlight w:val="none"/>
        </w:rPr>
        <w:t>六、预算金额：</w:t>
      </w:r>
      <w:r>
        <w:rPr>
          <w:rFonts w:hint="eastAsia" w:ascii="新宋体" w:hAnsi="新宋体" w:eastAsia="新宋体" w:cs="新宋体"/>
          <w:bCs/>
          <w:color w:val="auto"/>
          <w:kern w:val="0"/>
          <w:sz w:val="22"/>
          <w:szCs w:val="22"/>
          <w:highlight w:val="none"/>
          <w:lang w:val="en-US" w:eastAsia="zh-CN"/>
        </w:rPr>
        <w:t>90</w:t>
      </w:r>
      <w:r>
        <w:rPr>
          <w:rFonts w:hint="eastAsia" w:ascii="新宋体" w:hAnsi="新宋体" w:eastAsia="新宋体" w:cs="新宋体"/>
          <w:bCs/>
          <w:color w:val="auto"/>
          <w:kern w:val="0"/>
          <w:sz w:val="22"/>
          <w:szCs w:val="22"/>
          <w:highlight w:val="none"/>
        </w:rPr>
        <w:t>0000元</w:t>
      </w:r>
      <w:r>
        <w:rPr>
          <w:rFonts w:hint="eastAsia" w:ascii="新宋体" w:hAnsi="新宋体" w:eastAsia="新宋体" w:cs="新宋体"/>
          <w:bCs/>
          <w:color w:val="auto"/>
          <w:kern w:val="0"/>
          <w:sz w:val="22"/>
          <w:szCs w:val="22"/>
          <w:highlight w:val="none"/>
          <w:lang w:eastAsia="zh-CN"/>
        </w:rPr>
        <w:t>（</w:t>
      </w:r>
      <w:r>
        <w:rPr>
          <w:rFonts w:hint="eastAsia" w:ascii="新宋体" w:hAnsi="新宋体" w:eastAsia="新宋体" w:cs="新宋体"/>
          <w:bCs/>
          <w:color w:val="auto"/>
          <w:kern w:val="0"/>
          <w:sz w:val="22"/>
          <w:szCs w:val="22"/>
          <w:highlight w:val="none"/>
          <w:lang w:val="en-US" w:eastAsia="zh-CN"/>
        </w:rPr>
        <w:t>最高限价700000元</w:t>
      </w:r>
      <w:r>
        <w:rPr>
          <w:rFonts w:hint="eastAsia" w:ascii="新宋体" w:hAnsi="新宋体" w:eastAsia="新宋体" w:cs="新宋体"/>
          <w:bCs/>
          <w:color w:val="auto"/>
          <w:kern w:val="0"/>
          <w:sz w:val="22"/>
          <w:szCs w:val="22"/>
          <w:highlight w:val="none"/>
          <w:lang w:eastAsia="zh-CN"/>
        </w:rPr>
        <w:t>）</w:t>
      </w:r>
    </w:p>
    <w:p>
      <w:pPr>
        <w:widowControl/>
        <w:spacing w:line="360" w:lineRule="auto"/>
        <w:jc w:val="left"/>
        <w:rPr>
          <w:rFonts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rPr>
        <w:t>七、采购内容（具体采购内容及详细技术要求见采购文件相关部分）：</w:t>
      </w:r>
    </w:p>
    <w:tbl>
      <w:tblPr>
        <w:tblStyle w:val="18"/>
        <w:tblW w:w="0" w:type="auto"/>
        <w:tblInd w:w="0" w:type="dxa"/>
        <w:tblLayout w:type="fixed"/>
        <w:tblCellMar>
          <w:top w:w="0" w:type="dxa"/>
          <w:left w:w="108" w:type="dxa"/>
          <w:bottom w:w="0" w:type="dxa"/>
          <w:right w:w="108" w:type="dxa"/>
        </w:tblCellMar>
      </w:tblPr>
      <w:tblGrid>
        <w:gridCol w:w="959"/>
        <w:gridCol w:w="1984"/>
        <w:gridCol w:w="851"/>
        <w:gridCol w:w="992"/>
        <w:gridCol w:w="5068"/>
      </w:tblGrid>
      <w:tr>
        <w:tblPrEx>
          <w:tblCellMar>
            <w:top w:w="0" w:type="dxa"/>
            <w:left w:w="108" w:type="dxa"/>
            <w:bottom w:w="0" w:type="dxa"/>
            <w:right w:w="108" w:type="dxa"/>
          </w:tblCellMar>
        </w:tblPrEx>
        <w:tc>
          <w:tcPr>
            <w:tcW w:w="959" w:type="dxa"/>
            <w:tcBorders>
              <w:top w:val="single" w:color="000000" w:sz="4" w:space="0"/>
              <w:left w:val="single" w:color="000000" w:sz="4" w:space="0"/>
              <w:bottom w:val="single" w:color="000000" w:sz="4" w:space="0"/>
              <w:right w:val="single" w:color="000000" w:sz="4" w:space="0"/>
            </w:tcBorders>
            <w:vAlign w:val="center"/>
          </w:tcPr>
          <w:p>
            <w:pPr>
              <w:widowControl/>
              <w:spacing w:before="60" w:after="60" w:line="360" w:lineRule="auto"/>
              <w:ind w:left="60" w:right="60"/>
              <w:jc w:val="center"/>
              <w:rPr>
                <w:rFonts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序号</w:t>
            </w:r>
          </w:p>
        </w:tc>
        <w:tc>
          <w:tcPr>
            <w:tcW w:w="1984" w:type="dxa"/>
            <w:tcBorders>
              <w:top w:val="single" w:color="000000" w:sz="4" w:space="0"/>
              <w:left w:val="single" w:color="000000" w:sz="4" w:space="0"/>
              <w:bottom w:val="single" w:color="000000" w:sz="4" w:space="0"/>
              <w:right w:val="single" w:color="000000" w:sz="4" w:space="0"/>
            </w:tcBorders>
            <w:vAlign w:val="center"/>
          </w:tcPr>
          <w:p>
            <w:pPr>
              <w:widowControl/>
              <w:spacing w:before="60" w:after="60" w:line="360" w:lineRule="auto"/>
              <w:ind w:left="60" w:right="60"/>
              <w:jc w:val="center"/>
              <w:rPr>
                <w:rFonts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标项内容</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spacing w:before="60" w:after="60" w:line="360" w:lineRule="auto"/>
              <w:ind w:left="60" w:right="60"/>
              <w:jc w:val="center"/>
              <w:rPr>
                <w:rFonts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数量</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before="60" w:after="60" w:line="360" w:lineRule="auto"/>
              <w:ind w:left="60" w:right="60"/>
              <w:jc w:val="center"/>
              <w:rPr>
                <w:rFonts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单位</w:t>
            </w:r>
          </w:p>
        </w:tc>
        <w:tc>
          <w:tcPr>
            <w:tcW w:w="5068" w:type="dxa"/>
            <w:tcBorders>
              <w:top w:val="single" w:color="000000" w:sz="4" w:space="0"/>
              <w:left w:val="single" w:color="000000" w:sz="4" w:space="0"/>
              <w:bottom w:val="single" w:color="000000" w:sz="4" w:space="0"/>
              <w:right w:val="single" w:color="000000" w:sz="4" w:space="0"/>
            </w:tcBorders>
            <w:vAlign w:val="center"/>
          </w:tcPr>
          <w:p>
            <w:pPr>
              <w:widowControl/>
              <w:spacing w:before="60" w:after="60" w:line="360" w:lineRule="auto"/>
              <w:ind w:left="60" w:right="60"/>
              <w:jc w:val="center"/>
              <w:rPr>
                <w:rFonts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简要技术要求、用途</w:t>
            </w:r>
          </w:p>
        </w:tc>
      </w:tr>
      <w:tr>
        <w:tblPrEx>
          <w:tblCellMar>
            <w:top w:w="0" w:type="dxa"/>
            <w:left w:w="108" w:type="dxa"/>
            <w:bottom w:w="0" w:type="dxa"/>
            <w:right w:w="108" w:type="dxa"/>
          </w:tblCellMar>
        </w:tblPrEx>
        <w:tc>
          <w:tcPr>
            <w:tcW w:w="959" w:type="dxa"/>
            <w:tcBorders>
              <w:top w:val="single" w:color="000000" w:sz="4" w:space="0"/>
              <w:left w:val="single" w:color="000000" w:sz="4" w:space="0"/>
              <w:bottom w:val="single" w:color="000000" w:sz="4" w:space="0"/>
              <w:right w:val="single" w:color="000000" w:sz="4" w:space="0"/>
            </w:tcBorders>
            <w:vAlign w:val="center"/>
          </w:tcPr>
          <w:p>
            <w:pPr>
              <w:widowControl/>
              <w:spacing w:before="60" w:after="60" w:line="360" w:lineRule="auto"/>
              <w:jc w:val="center"/>
              <w:rPr>
                <w:rFonts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1</w:t>
            </w:r>
          </w:p>
        </w:tc>
        <w:tc>
          <w:tcPr>
            <w:tcW w:w="1984" w:type="dxa"/>
            <w:tcBorders>
              <w:top w:val="single" w:color="000000" w:sz="4" w:space="0"/>
              <w:left w:val="single" w:color="000000" w:sz="4" w:space="0"/>
              <w:bottom w:val="single" w:color="000000" w:sz="4" w:space="0"/>
              <w:right w:val="single" w:color="000000" w:sz="4" w:space="0"/>
            </w:tcBorders>
            <w:vAlign w:val="center"/>
          </w:tcPr>
          <w:p>
            <w:pPr>
              <w:widowControl/>
              <w:spacing w:before="60" w:after="60" w:line="360" w:lineRule="auto"/>
              <w:jc w:val="center"/>
              <w:rPr>
                <w:rFonts w:hint="eastAsia" w:ascii="新宋体" w:hAnsi="新宋体" w:eastAsia="新宋体" w:cs="新宋体"/>
                <w:bCs/>
                <w:color w:val="auto"/>
                <w:kern w:val="0"/>
                <w:sz w:val="22"/>
                <w:szCs w:val="22"/>
                <w:highlight w:val="none"/>
                <w:lang w:eastAsia="zh-CN"/>
              </w:rPr>
            </w:pPr>
            <w:r>
              <w:rPr>
                <w:rFonts w:hint="eastAsia" w:ascii="新宋体" w:hAnsi="新宋体" w:eastAsia="新宋体" w:cs="新宋体"/>
                <w:bCs/>
                <w:color w:val="auto"/>
                <w:kern w:val="0"/>
                <w:sz w:val="22"/>
                <w:szCs w:val="22"/>
                <w:highlight w:val="none"/>
                <w:lang w:eastAsia="zh-CN"/>
              </w:rPr>
              <w:t>铣刨料破碎筛分设备采购</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spacing w:before="60" w:after="60" w:line="360" w:lineRule="auto"/>
              <w:jc w:val="center"/>
              <w:rPr>
                <w:rFonts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1</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spacing w:before="60" w:after="60" w:line="360" w:lineRule="auto"/>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批</w:t>
            </w:r>
          </w:p>
        </w:tc>
        <w:tc>
          <w:tcPr>
            <w:tcW w:w="5068" w:type="dxa"/>
            <w:tcBorders>
              <w:top w:val="single" w:color="000000" w:sz="4" w:space="0"/>
              <w:left w:val="single" w:color="000000" w:sz="4" w:space="0"/>
              <w:bottom w:val="single" w:color="000000" w:sz="4" w:space="0"/>
              <w:right w:val="single" w:color="000000" w:sz="4" w:space="0"/>
            </w:tcBorders>
            <w:vAlign w:val="center"/>
          </w:tcPr>
          <w:p>
            <w:pPr>
              <w:widowControl/>
              <w:spacing w:before="60" w:after="60" w:line="360" w:lineRule="auto"/>
              <w:rPr>
                <w:rFonts w:ascii="新宋体" w:hAnsi="新宋体" w:eastAsia="新宋体" w:cs="新宋体"/>
                <w:bCs/>
                <w:color w:val="auto"/>
                <w:kern w:val="0"/>
                <w:sz w:val="22"/>
                <w:szCs w:val="22"/>
                <w:highlight w:val="none"/>
              </w:rPr>
            </w:pPr>
            <w:r>
              <w:rPr>
                <w:rFonts w:hint="eastAsia" w:ascii="新宋体" w:hAnsi="新宋体" w:eastAsia="新宋体" w:cs="新宋体"/>
                <w:color w:val="auto"/>
                <w:kern w:val="0"/>
                <w:sz w:val="22"/>
                <w:szCs w:val="22"/>
                <w:highlight w:val="none"/>
                <w:lang w:eastAsia="zh-CN"/>
              </w:rPr>
              <w:t>铣刨料破碎筛分设备采购</w:t>
            </w:r>
            <w:r>
              <w:rPr>
                <w:rFonts w:hint="eastAsia" w:ascii="新宋体" w:hAnsi="新宋体" w:eastAsia="新宋体" w:cs="新宋体"/>
                <w:bCs/>
                <w:color w:val="auto"/>
                <w:kern w:val="0"/>
                <w:sz w:val="22"/>
                <w:szCs w:val="22"/>
                <w:highlight w:val="none"/>
              </w:rPr>
              <w:t>，具体采购内容及详细技术要求见采购文件相关部分。</w:t>
            </w:r>
          </w:p>
        </w:tc>
      </w:tr>
    </w:tbl>
    <w:p>
      <w:pPr>
        <w:widowControl/>
        <w:spacing w:line="360" w:lineRule="auto"/>
        <w:jc w:val="left"/>
        <w:rPr>
          <w:rFonts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rPr>
        <w:t>八、投标人资格要求</w:t>
      </w:r>
    </w:p>
    <w:p>
      <w:pPr>
        <w:widowControl/>
        <w:spacing w:line="360" w:lineRule="auto"/>
        <w:ind w:right="60" w:firstLine="440" w:firstLineChars="200"/>
        <w:jc w:val="left"/>
        <w:rPr>
          <w:rFonts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1、符合《温州市市属国有企业采购管理办法（试行）》第十五条对供应商参加温州市国有企业采购活动应当具备的条件的要求；</w:t>
      </w:r>
    </w:p>
    <w:p>
      <w:pPr>
        <w:widowControl/>
        <w:spacing w:line="360" w:lineRule="auto"/>
        <w:ind w:right="60" w:firstLine="440" w:firstLineChars="200"/>
        <w:jc w:val="left"/>
        <w:rPr>
          <w:rFonts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2、投标人未被列入“信用中国”网(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新宋体" w:hAnsi="新宋体" w:eastAsia="新宋体" w:cs="新宋体"/>
          <w:snapToGrid w:val="0"/>
          <w:color w:val="auto"/>
          <w:sz w:val="22"/>
          <w:szCs w:val="22"/>
          <w:highlight w:val="none"/>
        </w:rPr>
        <w:t>www.creditchina.gov.cn</w:t>
      </w:r>
      <w:r>
        <w:rPr>
          <w:rFonts w:hint="eastAsia" w:ascii="新宋体" w:hAnsi="新宋体" w:eastAsia="新宋体" w:cs="新宋体"/>
          <w:snapToGrid w:val="0"/>
          <w:color w:val="auto"/>
          <w:sz w:val="22"/>
          <w:szCs w:val="22"/>
          <w:highlight w:val="none"/>
        </w:rPr>
        <w:fldChar w:fldCharType="end"/>
      </w:r>
      <w:r>
        <w:rPr>
          <w:rFonts w:hint="eastAsia" w:ascii="新宋体" w:hAnsi="新宋体" w:eastAsia="新宋体" w:cs="新宋体"/>
          <w:snapToGrid w:val="0"/>
          <w:color w:val="auto"/>
          <w:sz w:val="22"/>
          <w:szCs w:val="22"/>
          <w:highlight w:val="none"/>
        </w:rPr>
        <w:t>)、中国政府采购网（http://www.ccgp.gov.cn/）失信被执行人、重大税收违法案件当事人名单、政府采购严重违法失信行为记录名单且尚处于禁止参加采购活动期内；</w:t>
      </w:r>
    </w:p>
    <w:p>
      <w:pPr>
        <w:widowControl/>
        <w:spacing w:line="360" w:lineRule="auto"/>
        <w:ind w:right="60" w:firstLine="440" w:firstLineChars="200"/>
        <w:jc w:val="left"/>
        <w:rPr>
          <w:rFonts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3、单位负责人为同一人或者存在直接控股、管理关系的不同供应商，不得参加同一合同项下的国企采购活动；</w:t>
      </w:r>
    </w:p>
    <w:p>
      <w:pPr>
        <w:widowControl/>
        <w:spacing w:line="360" w:lineRule="auto"/>
        <w:ind w:right="60" w:firstLine="440" w:firstLineChars="200"/>
        <w:jc w:val="left"/>
        <w:rPr>
          <w:rFonts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4、本项目不接受联合体投标。</w:t>
      </w:r>
    </w:p>
    <w:p>
      <w:pPr>
        <w:widowControl/>
        <w:spacing w:line="360" w:lineRule="auto"/>
        <w:ind w:right="60"/>
        <w:jc w:val="left"/>
        <w:rPr>
          <w:rFonts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rPr>
        <w:t>九、</w:t>
      </w:r>
      <w:r>
        <w:rPr>
          <w:rFonts w:hint="eastAsia" w:ascii="新宋体" w:hAnsi="新宋体" w:eastAsia="新宋体" w:cs="新宋体"/>
          <w:b/>
          <w:color w:val="auto"/>
          <w:kern w:val="0"/>
          <w:sz w:val="22"/>
          <w:szCs w:val="22"/>
          <w:highlight w:val="none"/>
        </w:rPr>
        <w:t>获取采购文件时间、地点及方式:</w:t>
      </w:r>
    </w:p>
    <w:p>
      <w:pPr>
        <w:widowControl/>
        <w:spacing w:line="360" w:lineRule="auto"/>
        <w:ind w:right="60" w:firstLine="440" w:firstLineChars="200"/>
        <w:jc w:val="left"/>
        <w:rPr>
          <w:rFonts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1．申请获取采购文件方式：供应商在“政采云”（http://www.zcygov.cn）上登录申请获取本项目采购文件，将以下书面资料提交至采购代理机构并办理购买采购文件事宜（亦可通过邮箱将报名资料扫描件发送至462978466@qq.com进行报名），采购代理机构将对书面资料进行审核：</w:t>
      </w:r>
    </w:p>
    <w:p>
      <w:pPr>
        <w:widowControl/>
        <w:spacing w:line="360" w:lineRule="auto"/>
        <w:ind w:right="60" w:firstLine="424" w:firstLineChars="193"/>
        <w:jc w:val="left"/>
        <w:rPr>
          <w:rFonts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①　法定代表人（单位负责人）授权委托书/公司介绍信；</w:t>
      </w:r>
    </w:p>
    <w:p>
      <w:pPr>
        <w:widowControl/>
        <w:spacing w:line="360" w:lineRule="auto"/>
        <w:ind w:right="60" w:firstLine="424" w:firstLineChars="193"/>
        <w:jc w:val="left"/>
        <w:rPr>
          <w:rFonts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②　被授权人身份证复印件；</w:t>
      </w:r>
    </w:p>
    <w:p>
      <w:pPr>
        <w:widowControl/>
        <w:spacing w:line="360" w:lineRule="auto"/>
        <w:ind w:right="60" w:firstLine="424" w:firstLineChars="193"/>
        <w:jc w:val="left"/>
        <w:rPr>
          <w:rFonts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③　加盖有效公章的营业执照副本复印件。</w:t>
      </w:r>
    </w:p>
    <w:p>
      <w:pPr>
        <w:widowControl/>
        <w:spacing w:line="360" w:lineRule="auto"/>
        <w:ind w:right="60" w:firstLine="440" w:firstLineChars="200"/>
        <w:jc w:val="left"/>
        <w:rPr>
          <w:rFonts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2．申请获取采购文件时间：公告发布之日起至投标响应文件递交截止时间前（节假日除外），上午：08:30－11:30，下午：14:00－16:30。</w:t>
      </w:r>
    </w:p>
    <w:p>
      <w:pPr>
        <w:widowControl/>
        <w:spacing w:line="360" w:lineRule="auto"/>
        <w:ind w:right="60" w:firstLine="550" w:firstLineChars="250"/>
        <w:jc w:val="left"/>
        <w:rPr>
          <w:rFonts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3.购领采购文件时间和地点：温州市智信招标代理有限公司（</w:t>
      </w:r>
      <w:r>
        <w:rPr>
          <w:rFonts w:hint="eastAsia" w:ascii="新宋体" w:hAnsi="新宋体" w:eastAsia="新宋体" w:cs="新宋体"/>
          <w:snapToGrid w:val="0"/>
          <w:color w:val="auto"/>
          <w:sz w:val="22"/>
          <w:szCs w:val="22"/>
          <w:highlight w:val="none"/>
          <w:lang w:eastAsia="zh-CN"/>
        </w:rPr>
        <w:t>温州市瓯海区新桥街道高昂路1号牛山广场2号楼1409室</w:t>
      </w:r>
      <w:r>
        <w:rPr>
          <w:rFonts w:hint="eastAsia" w:ascii="新宋体" w:hAnsi="新宋体" w:eastAsia="新宋体" w:cs="新宋体"/>
          <w:snapToGrid w:val="0"/>
          <w:color w:val="auto"/>
          <w:sz w:val="22"/>
          <w:szCs w:val="22"/>
          <w:highlight w:val="none"/>
        </w:rPr>
        <w:t>）。采购代理机构将拒收未购领采购文件的潜在供应商递交的投标响应文件，采购文件每套500元整，售后不退。</w:t>
      </w:r>
    </w:p>
    <w:p>
      <w:pPr>
        <w:widowControl/>
        <w:spacing w:line="360" w:lineRule="auto"/>
        <w:jc w:val="left"/>
        <w:rPr>
          <w:rFonts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rPr>
        <w:t>十、投标文件递交截止时间、开标时间及地点：</w:t>
      </w:r>
    </w:p>
    <w:p>
      <w:pPr>
        <w:widowControl/>
        <w:spacing w:line="360" w:lineRule="auto"/>
        <w:ind w:firstLine="440" w:firstLineChars="200"/>
        <w:jc w:val="lef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1.投标文件递交截止时间：</w:t>
      </w:r>
      <w:r>
        <w:rPr>
          <w:rFonts w:hint="eastAsia" w:ascii="新宋体" w:hAnsi="新宋体" w:eastAsia="新宋体" w:cs="新宋体"/>
          <w:color w:val="auto"/>
          <w:kern w:val="0"/>
          <w:sz w:val="22"/>
          <w:szCs w:val="22"/>
          <w:highlight w:val="none"/>
          <w:lang w:eastAsia="zh-CN"/>
        </w:rPr>
        <w:t>2023年08月09日14：30</w:t>
      </w:r>
    </w:p>
    <w:p>
      <w:pPr>
        <w:widowControl/>
        <w:spacing w:line="360" w:lineRule="auto"/>
        <w:ind w:firstLine="440" w:firstLineChars="200"/>
        <w:jc w:val="lef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2.递交地点：温州市府东路宏国大厦（温州市城发集团15楼</w:t>
      </w:r>
      <w:r>
        <w:rPr>
          <w:rFonts w:hint="eastAsia" w:ascii="新宋体" w:hAnsi="新宋体" w:eastAsia="新宋体" w:cs="新宋体"/>
          <w:color w:val="auto"/>
          <w:kern w:val="0"/>
          <w:sz w:val="22"/>
          <w:szCs w:val="22"/>
          <w:highlight w:val="none"/>
          <w:lang w:val="en-US" w:eastAsia="zh-CN"/>
        </w:rPr>
        <w:t>1号</w:t>
      </w:r>
      <w:r>
        <w:rPr>
          <w:rFonts w:hint="eastAsia" w:ascii="新宋体" w:hAnsi="新宋体" w:eastAsia="新宋体" w:cs="新宋体"/>
          <w:color w:val="auto"/>
          <w:kern w:val="0"/>
          <w:sz w:val="22"/>
          <w:szCs w:val="22"/>
          <w:highlight w:val="none"/>
        </w:rPr>
        <w:t>会议室）</w:t>
      </w:r>
    </w:p>
    <w:p>
      <w:pPr>
        <w:widowControl/>
        <w:spacing w:line="360" w:lineRule="auto"/>
        <w:ind w:firstLine="440" w:firstLineChars="200"/>
        <w:jc w:val="lef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3.开标时间：</w:t>
      </w:r>
      <w:r>
        <w:rPr>
          <w:rFonts w:hint="eastAsia" w:ascii="新宋体" w:hAnsi="新宋体" w:eastAsia="新宋体" w:cs="新宋体"/>
          <w:color w:val="auto"/>
          <w:kern w:val="0"/>
          <w:sz w:val="22"/>
          <w:szCs w:val="22"/>
          <w:highlight w:val="none"/>
          <w:lang w:eastAsia="zh-CN"/>
        </w:rPr>
        <w:t>2023年08月09日14：30</w:t>
      </w:r>
    </w:p>
    <w:p>
      <w:pPr>
        <w:widowControl/>
        <w:spacing w:line="360" w:lineRule="auto"/>
        <w:ind w:firstLine="440" w:firstLineChars="200"/>
        <w:jc w:val="lef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4.开标地点：温州市府东路宏国大厦（温州市城发集团15楼</w:t>
      </w:r>
      <w:r>
        <w:rPr>
          <w:rFonts w:hint="eastAsia" w:ascii="新宋体" w:hAnsi="新宋体" w:eastAsia="新宋体" w:cs="新宋体"/>
          <w:color w:val="auto"/>
          <w:kern w:val="0"/>
          <w:sz w:val="22"/>
          <w:szCs w:val="22"/>
          <w:highlight w:val="none"/>
          <w:lang w:val="en-US" w:eastAsia="zh-CN"/>
        </w:rPr>
        <w:t>1号</w:t>
      </w:r>
      <w:r>
        <w:rPr>
          <w:rFonts w:hint="eastAsia" w:ascii="新宋体" w:hAnsi="新宋体" w:eastAsia="新宋体" w:cs="新宋体"/>
          <w:color w:val="auto"/>
          <w:kern w:val="0"/>
          <w:sz w:val="22"/>
          <w:szCs w:val="22"/>
          <w:highlight w:val="none"/>
        </w:rPr>
        <w:t>会议室）</w:t>
      </w:r>
      <w:bookmarkStart w:id="133" w:name="_GoBack"/>
      <w:bookmarkEnd w:id="133"/>
    </w:p>
    <w:p>
      <w:pPr>
        <w:widowControl/>
        <w:spacing w:line="360" w:lineRule="auto"/>
        <w:jc w:val="left"/>
        <w:rPr>
          <w:rFonts w:ascii="新宋体" w:hAnsi="新宋体" w:eastAsia="新宋体" w:cs="新宋体"/>
          <w:color w:val="auto"/>
          <w:kern w:val="0"/>
          <w:sz w:val="22"/>
          <w:szCs w:val="22"/>
          <w:highlight w:val="none"/>
        </w:rPr>
      </w:pPr>
      <w:r>
        <w:rPr>
          <w:rFonts w:hint="eastAsia" w:ascii="新宋体" w:hAnsi="新宋体" w:eastAsia="新宋体" w:cs="新宋体"/>
          <w:b/>
          <w:bCs/>
          <w:color w:val="auto"/>
          <w:kern w:val="0"/>
          <w:sz w:val="22"/>
          <w:szCs w:val="22"/>
          <w:highlight w:val="none"/>
        </w:rPr>
        <w:t>十一、投标保证金</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投标保证金：人民币</w:t>
      </w:r>
      <w:r>
        <w:rPr>
          <w:rFonts w:hint="eastAsia" w:ascii="新宋体" w:hAnsi="新宋体" w:eastAsia="新宋体" w:cs="新宋体"/>
          <w:color w:val="auto"/>
          <w:kern w:val="0"/>
          <w:sz w:val="22"/>
          <w:szCs w:val="22"/>
          <w:highlight w:val="none"/>
          <w:lang w:val="en-US" w:eastAsia="zh-CN"/>
        </w:rPr>
        <w:t>柒</w:t>
      </w:r>
      <w:r>
        <w:rPr>
          <w:rFonts w:hint="eastAsia" w:ascii="新宋体" w:hAnsi="新宋体" w:eastAsia="新宋体" w:cs="新宋体"/>
          <w:color w:val="auto"/>
          <w:kern w:val="0"/>
          <w:sz w:val="22"/>
          <w:szCs w:val="22"/>
          <w:highlight w:val="none"/>
        </w:rPr>
        <w:t>仟元整（¥</w:t>
      </w:r>
      <w:r>
        <w:rPr>
          <w:rFonts w:hint="eastAsia" w:ascii="新宋体" w:hAnsi="新宋体" w:eastAsia="新宋体" w:cs="新宋体"/>
          <w:color w:val="auto"/>
          <w:kern w:val="0"/>
          <w:sz w:val="22"/>
          <w:szCs w:val="22"/>
          <w:highlight w:val="none"/>
          <w:lang w:val="en-US" w:eastAsia="zh-CN"/>
        </w:rPr>
        <w:t>7</w:t>
      </w:r>
      <w:r>
        <w:rPr>
          <w:rFonts w:hint="eastAsia" w:ascii="新宋体" w:hAnsi="新宋体" w:eastAsia="新宋体" w:cs="新宋体"/>
          <w:color w:val="auto"/>
          <w:kern w:val="0"/>
          <w:sz w:val="22"/>
          <w:szCs w:val="22"/>
          <w:highlight w:val="none"/>
        </w:rPr>
        <w:t>000元）</w:t>
      </w:r>
    </w:p>
    <w:p>
      <w:pPr>
        <w:widowControl/>
        <w:spacing w:line="360" w:lineRule="auto"/>
        <w:ind w:firstLine="440" w:firstLineChars="200"/>
        <w:jc w:val="lef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投标保证金缴纳截止时间：</w:t>
      </w:r>
      <w:r>
        <w:rPr>
          <w:rFonts w:hint="eastAsia" w:ascii="新宋体" w:hAnsi="新宋体" w:eastAsia="新宋体" w:cs="新宋体"/>
          <w:color w:val="auto"/>
          <w:kern w:val="0"/>
          <w:sz w:val="22"/>
          <w:szCs w:val="22"/>
          <w:highlight w:val="none"/>
          <w:lang w:eastAsia="zh-CN"/>
        </w:rPr>
        <w:t>2023年08月09日14：30</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户名：政采云有限公司</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账号：190001010400276210000004043</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开户行：中国农业银行杭州西湖支行</w:t>
      </w:r>
    </w:p>
    <w:p>
      <w:pPr>
        <w:widowControl/>
        <w:spacing w:line="360" w:lineRule="auto"/>
        <w:jc w:val="left"/>
        <w:rPr>
          <w:rFonts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rPr>
        <w:t>十二、其他事项</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 采购公告期限：5个工作日，以公告发布次日起计。</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w:t>
      </w:r>
      <w:r>
        <w:rPr>
          <w:rFonts w:hint="eastAsia" w:ascii="新宋体" w:hAnsi="新宋体" w:eastAsia="新宋体"/>
          <w:color w:val="auto"/>
          <w:highlight w:val="none"/>
        </w:rPr>
        <w:t xml:space="preserve"> </w:t>
      </w:r>
      <w:r>
        <w:rPr>
          <w:rFonts w:hint="eastAsia" w:ascii="新宋体" w:hAnsi="新宋体" w:eastAsia="新宋体" w:cs="新宋体"/>
          <w:color w:val="auto"/>
          <w:kern w:val="0"/>
          <w:sz w:val="22"/>
          <w:szCs w:val="22"/>
          <w:highlight w:val="none"/>
          <w:u w:val="single"/>
        </w:rPr>
        <w:t>供应商认为采购文件使自己的权益受到损害的，可以自收到采购文件之日（发售截止日之后收到采购文件的，以发售截止日为准）或者采购公告期限届满之日起7个工作日内，以书面形式向采购人和采购代理机构提出质疑。质疑供应商对采购人、采购代理机构的答复不满意或者采购人、采购代理机构未在规定的时间内作出答复的，可以在答复期满后15个工作日内向温州市城市建设发展集团有限公司招投标管理委员会投诉。</w:t>
      </w:r>
    </w:p>
    <w:p>
      <w:pPr>
        <w:pStyle w:val="17"/>
        <w:spacing w:line="360" w:lineRule="auto"/>
        <w:ind w:firstLine="440" w:firstLineChars="200"/>
        <w:rPr>
          <w:rFonts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 xml:space="preserve">3. </w:t>
      </w:r>
      <w:r>
        <w:rPr>
          <w:rFonts w:hint="eastAsia" w:ascii="新宋体" w:hAnsi="新宋体" w:eastAsia="新宋体" w:cs="新宋体"/>
          <w:color w:val="auto"/>
          <w:sz w:val="22"/>
          <w:szCs w:val="22"/>
          <w:highlight w:val="none"/>
          <w:u w:val="single"/>
        </w:rPr>
        <w:t>温州市城市建设发展集团有限公司负责对投标人反映的企业本部及所属企业在采购活动中出现的违法违规问题进行答疑回复。投标人认为温州市城市建设发展集团有限公司答疑回复处理结果不合法的，可以采购人或代理机构为对象依法向采购人所在地人民法院提起诉讼。</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4.采购公告附件的采购文件仅供阅览使用，未按照本公告规定的方式获取采购文件的潜在供应商提起的质疑采购组织机构将不予受理、答复。</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5.采购文件发售截止时间之后潜在投标人仍然可以购买采购文件，但该投标人如对采购文件有疑问应按采购文件规定的询疑截止时间前提出，逾期提出的，采购代理机构可以不予受理、答复。</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6.书面质疑受理地点：</w:t>
      </w:r>
      <w:r>
        <w:rPr>
          <w:rFonts w:hint="eastAsia" w:ascii="新宋体" w:hAnsi="新宋体" w:eastAsia="新宋体" w:cs="新宋体"/>
          <w:color w:val="auto"/>
          <w:kern w:val="0"/>
          <w:sz w:val="22"/>
          <w:szCs w:val="22"/>
          <w:highlight w:val="none"/>
          <w:lang w:eastAsia="zh-CN"/>
        </w:rPr>
        <w:t>温州市瓯海区新桥街道高昂路1号牛山广场2号楼1409室</w:t>
      </w:r>
      <w:r>
        <w:rPr>
          <w:rFonts w:hint="eastAsia" w:ascii="新宋体" w:hAnsi="新宋体" w:eastAsia="新宋体" w:cs="新宋体"/>
          <w:color w:val="auto"/>
          <w:kern w:val="0"/>
          <w:sz w:val="22"/>
          <w:szCs w:val="22"/>
          <w:highlight w:val="none"/>
        </w:rPr>
        <w:t>，联系人：熊先生 ，联系电话：13676780329</w:t>
      </w:r>
    </w:p>
    <w:p>
      <w:pPr>
        <w:widowControl/>
        <w:spacing w:line="360" w:lineRule="auto"/>
        <w:jc w:val="left"/>
        <w:rPr>
          <w:rFonts w:ascii="新宋体" w:hAnsi="新宋体" w:eastAsia="新宋体" w:cs="新宋体"/>
          <w:color w:val="auto"/>
          <w:kern w:val="0"/>
          <w:sz w:val="22"/>
          <w:szCs w:val="22"/>
          <w:highlight w:val="none"/>
        </w:rPr>
      </w:pPr>
      <w:r>
        <w:rPr>
          <w:rFonts w:hint="eastAsia" w:ascii="新宋体" w:hAnsi="新宋体" w:eastAsia="新宋体" w:cs="新宋体"/>
          <w:b/>
          <w:bCs/>
          <w:color w:val="auto"/>
          <w:kern w:val="0"/>
          <w:sz w:val="22"/>
          <w:szCs w:val="22"/>
          <w:highlight w:val="none"/>
        </w:rPr>
        <w:t>十三、联系人及联系电话</w:t>
      </w:r>
    </w:p>
    <w:p>
      <w:pPr>
        <w:widowControl/>
        <w:spacing w:line="360" w:lineRule="auto"/>
        <w:ind w:firstLine="440" w:firstLineChars="200"/>
        <w:jc w:val="lef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采购人：</w:t>
      </w:r>
      <w:r>
        <w:rPr>
          <w:rFonts w:hint="eastAsia" w:ascii="新宋体" w:hAnsi="新宋体" w:eastAsia="新宋体" w:cs="新宋体"/>
          <w:color w:val="auto"/>
          <w:kern w:val="0"/>
          <w:sz w:val="22"/>
          <w:szCs w:val="22"/>
          <w:highlight w:val="none"/>
          <w:lang w:eastAsia="zh-CN"/>
        </w:rPr>
        <w:t>温州瓯发市政工程有限公司</w:t>
      </w:r>
    </w:p>
    <w:p>
      <w:pPr>
        <w:widowControl/>
        <w:spacing w:line="360" w:lineRule="auto"/>
        <w:ind w:firstLine="440" w:firstLineChars="200"/>
        <w:jc w:val="lef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地址：</w:t>
      </w:r>
      <w:r>
        <w:rPr>
          <w:rFonts w:hint="eastAsia" w:ascii="新宋体" w:hAnsi="新宋体" w:eastAsia="新宋体" w:cs="宋体"/>
          <w:color w:val="auto"/>
          <w:kern w:val="0"/>
          <w:sz w:val="22"/>
          <w:szCs w:val="22"/>
          <w:highlight w:val="none"/>
          <w:lang w:eastAsia="zh-CN"/>
        </w:rPr>
        <w:t>温州市瓯海区仙岩街道沈岙村南洋路15号</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eastAsia="zh-CN"/>
        </w:rPr>
        <w:t>毕先生</w:t>
      </w:r>
      <w:r>
        <w:rPr>
          <w:rFonts w:hint="eastAsia" w:ascii="新宋体" w:hAnsi="新宋体" w:eastAsia="新宋体" w:cs="新宋体"/>
          <w:color w:val="auto"/>
          <w:kern w:val="0"/>
          <w:sz w:val="22"/>
          <w:szCs w:val="22"/>
          <w:highlight w:val="none"/>
        </w:rPr>
        <w:t xml:space="preserve">  </w:t>
      </w:r>
    </w:p>
    <w:p>
      <w:pPr>
        <w:widowControl/>
        <w:spacing w:line="360" w:lineRule="auto"/>
        <w:ind w:firstLine="440" w:firstLineChars="200"/>
        <w:jc w:val="lef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联系电话：</w:t>
      </w:r>
      <w:r>
        <w:rPr>
          <w:rFonts w:hint="eastAsia" w:ascii="新宋体" w:hAnsi="新宋体" w:eastAsia="新宋体" w:cs="新宋体"/>
          <w:color w:val="auto"/>
          <w:kern w:val="0"/>
          <w:sz w:val="22"/>
          <w:szCs w:val="22"/>
          <w:highlight w:val="none"/>
          <w:lang w:eastAsia="zh-CN"/>
        </w:rPr>
        <w:t>0577-88875755</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采购代理机构名称：温州市智信招标代理有限公司</w:t>
      </w:r>
    </w:p>
    <w:p>
      <w:pPr>
        <w:widowControl/>
        <w:spacing w:line="360" w:lineRule="auto"/>
        <w:ind w:firstLine="440" w:firstLineChars="200"/>
        <w:jc w:val="lef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地址：</w:t>
      </w:r>
      <w:r>
        <w:rPr>
          <w:rFonts w:hint="eastAsia" w:ascii="新宋体" w:hAnsi="新宋体" w:eastAsia="新宋体" w:cs="新宋体"/>
          <w:color w:val="auto"/>
          <w:kern w:val="0"/>
          <w:sz w:val="22"/>
          <w:szCs w:val="22"/>
          <w:highlight w:val="none"/>
          <w:lang w:eastAsia="zh-CN"/>
        </w:rPr>
        <w:t>温州市瓯海区新桥街道高昂路1号牛山广场2号楼1409室</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联系人：苏先生/叶先生</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联系电话： 13626506308/13958779970  传真: 0577-88270122</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val="en-US" w:eastAsia="zh-CN"/>
        </w:rPr>
        <w:t>采购</w:t>
      </w:r>
      <w:r>
        <w:rPr>
          <w:rFonts w:hint="eastAsia" w:ascii="新宋体" w:hAnsi="新宋体" w:eastAsia="新宋体" w:cs="新宋体"/>
          <w:color w:val="auto"/>
          <w:kern w:val="0"/>
          <w:sz w:val="22"/>
          <w:szCs w:val="22"/>
          <w:highlight w:val="none"/>
        </w:rPr>
        <w:t>监督</w:t>
      </w:r>
      <w:r>
        <w:rPr>
          <w:rFonts w:hint="eastAsia" w:ascii="新宋体" w:hAnsi="新宋体" w:eastAsia="新宋体" w:cs="新宋体"/>
          <w:color w:val="auto"/>
          <w:kern w:val="0"/>
          <w:sz w:val="22"/>
          <w:szCs w:val="22"/>
          <w:highlight w:val="none"/>
          <w:lang w:val="en-US" w:eastAsia="zh-CN"/>
        </w:rPr>
        <w:t>管理</w:t>
      </w:r>
      <w:r>
        <w:rPr>
          <w:rFonts w:hint="eastAsia" w:ascii="新宋体" w:hAnsi="新宋体" w:eastAsia="新宋体" w:cs="新宋体"/>
          <w:color w:val="auto"/>
          <w:kern w:val="0"/>
          <w:sz w:val="22"/>
          <w:szCs w:val="22"/>
          <w:highlight w:val="none"/>
        </w:rPr>
        <w:t>部门：温州市城市建设发展集团有限公司招投标管理委员会</w:t>
      </w:r>
    </w:p>
    <w:p>
      <w:pPr>
        <w:widowControl/>
        <w:spacing w:line="360" w:lineRule="auto"/>
        <w:ind w:firstLine="440" w:firstLineChars="200"/>
        <w:jc w:val="lef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业务咨询联系人：</w:t>
      </w:r>
      <w:r>
        <w:rPr>
          <w:rFonts w:hint="eastAsia" w:ascii="新宋体" w:hAnsi="新宋体" w:eastAsia="新宋体" w:cs="新宋体"/>
          <w:color w:val="auto"/>
          <w:kern w:val="0"/>
          <w:sz w:val="22"/>
          <w:szCs w:val="22"/>
          <w:highlight w:val="none"/>
          <w:lang w:eastAsia="zh-CN"/>
        </w:rPr>
        <w:t>毕先生</w:t>
      </w:r>
      <w:r>
        <w:rPr>
          <w:rFonts w:hint="eastAsia" w:ascii="新宋体" w:hAnsi="新宋体" w:eastAsia="新宋体" w:cs="新宋体"/>
          <w:color w:val="auto"/>
          <w:kern w:val="0"/>
          <w:sz w:val="22"/>
          <w:szCs w:val="22"/>
          <w:highlight w:val="none"/>
        </w:rPr>
        <w:t>     业务联系电话：</w:t>
      </w:r>
      <w:r>
        <w:rPr>
          <w:rFonts w:hint="eastAsia" w:ascii="新宋体" w:hAnsi="新宋体" w:eastAsia="新宋体" w:cs="新宋体"/>
          <w:color w:val="auto"/>
          <w:kern w:val="0"/>
          <w:sz w:val="22"/>
          <w:szCs w:val="22"/>
          <w:highlight w:val="none"/>
          <w:lang w:eastAsia="zh-CN"/>
        </w:rPr>
        <w:t>0577-88875755</w:t>
      </w:r>
    </w:p>
    <w:p>
      <w:pPr>
        <w:widowControl/>
        <w:spacing w:line="360" w:lineRule="auto"/>
        <w:ind w:firstLine="440" w:firstLineChars="200"/>
        <w:jc w:val="left"/>
        <w:rPr>
          <w:rFonts w:hint="default"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rPr>
        <w:t xml:space="preserve">公司监察联系人： </w:t>
      </w:r>
      <w:r>
        <w:rPr>
          <w:rFonts w:hint="eastAsia" w:ascii="新宋体" w:hAnsi="新宋体" w:eastAsia="新宋体" w:cs="新宋体"/>
          <w:color w:val="auto"/>
          <w:kern w:val="0"/>
          <w:sz w:val="22"/>
          <w:szCs w:val="22"/>
          <w:highlight w:val="none"/>
          <w:lang w:val="en-US" w:eastAsia="zh-CN"/>
        </w:rPr>
        <w:t>戴先生</w:t>
      </w:r>
      <w:r>
        <w:rPr>
          <w:rFonts w:hint="eastAsia" w:ascii="新宋体" w:hAnsi="新宋体" w:eastAsia="新宋体" w:cs="新宋体"/>
          <w:color w:val="auto"/>
          <w:kern w:val="0"/>
          <w:sz w:val="22"/>
          <w:szCs w:val="22"/>
          <w:highlight w:val="none"/>
        </w:rPr>
        <w:t xml:space="preserve">     公司监察电话：</w:t>
      </w:r>
      <w:r>
        <w:rPr>
          <w:rFonts w:hint="eastAsia" w:ascii="新宋体" w:hAnsi="新宋体" w:eastAsia="新宋体" w:cs="新宋体"/>
          <w:color w:val="auto"/>
          <w:kern w:val="0"/>
          <w:sz w:val="22"/>
          <w:szCs w:val="22"/>
          <w:highlight w:val="none"/>
          <w:lang w:val="en-US" w:eastAsia="zh-CN"/>
        </w:rPr>
        <w:t>0577-88313905</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集团业务举报联系人：王女士 集团业务举报：0577-88565186</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集团纪检举报联系人：胡先生 集团纪检举报：0577-88568983</w:t>
      </w:r>
    </w:p>
    <w:p>
      <w:pPr>
        <w:widowControl/>
        <w:spacing w:line="360" w:lineRule="auto"/>
        <w:jc w:val="right"/>
        <w:rPr>
          <w:rFonts w:ascii="新宋体" w:hAnsi="新宋体" w:eastAsia="新宋体" w:cs="新宋体"/>
          <w:color w:val="auto"/>
          <w:kern w:val="0"/>
          <w:sz w:val="22"/>
          <w:szCs w:val="22"/>
          <w:highlight w:val="none"/>
        </w:rPr>
      </w:pPr>
    </w:p>
    <w:p>
      <w:pPr>
        <w:widowControl/>
        <w:spacing w:line="360" w:lineRule="auto"/>
        <w:jc w:val="righ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温州瓯发市政工程有限公司</w:t>
      </w:r>
    </w:p>
    <w:p>
      <w:pPr>
        <w:widowControl/>
        <w:spacing w:line="360" w:lineRule="auto"/>
        <w:jc w:val="righ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温州市智信招标代理有限公司</w:t>
      </w:r>
    </w:p>
    <w:p>
      <w:pPr>
        <w:widowControl/>
        <w:spacing w:line="360" w:lineRule="auto"/>
        <w:jc w:val="righ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202</w:t>
      </w:r>
      <w:r>
        <w:rPr>
          <w:rFonts w:hint="eastAsia" w:ascii="新宋体" w:hAnsi="新宋体" w:eastAsia="新宋体" w:cs="新宋体"/>
          <w:color w:val="auto"/>
          <w:kern w:val="0"/>
          <w:sz w:val="22"/>
          <w:szCs w:val="22"/>
          <w:highlight w:val="none"/>
          <w:lang w:val="en-US" w:eastAsia="zh-CN"/>
        </w:rPr>
        <w:t>3</w:t>
      </w:r>
      <w:r>
        <w:rPr>
          <w:rFonts w:hint="eastAsia" w:ascii="新宋体" w:hAnsi="新宋体" w:eastAsia="新宋体" w:cs="新宋体"/>
          <w:color w:val="auto"/>
          <w:kern w:val="0"/>
          <w:sz w:val="22"/>
          <w:szCs w:val="22"/>
          <w:highlight w:val="none"/>
        </w:rPr>
        <w:t>年</w:t>
      </w:r>
      <w:r>
        <w:rPr>
          <w:rFonts w:hint="eastAsia" w:ascii="新宋体" w:hAnsi="新宋体" w:eastAsia="新宋体" w:cs="新宋体"/>
          <w:color w:val="auto"/>
          <w:kern w:val="0"/>
          <w:sz w:val="22"/>
          <w:szCs w:val="22"/>
          <w:highlight w:val="none"/>
          <w:lang w:val="en-US" w:eastAsia="zh-CN"/>
        </w:rPr>
        <w:t>07</w:t>
      </w:r>
      <w:r>
        <w:rPr>
          <w:rFonts w:hint="eastAsia" w:ascii="新宋体" w:hAnsi="新宋体" w:eastAsia="新宋体" w:cs="新宋体"/>
          <w:color w:val="auto"/>
          <w:kern w:val="0"/>
          <w:sz w:val="22"/>
          <w:szCs w:val="22"/>
          <w:highlight w:val="none"/>
        </w:rPr>
        <w:t>月</w:t>
      </w:r>
      <w:r>
        <w:rPr>
          <w:rFonts w:hint="eastAsia" w:ascii="新宋体" w:hAnsi="新宋体" w:eastAsia="新宋体" w:cs="新宋体"/>
          <w:color w:val="auto"/>
          <w:kern w:val="0"/>
          <w:sz w:val="22"/>
          <w:szCs w:val="22"/>
          <w:highlight w:val="none"/>
          <w:lang w:val="en-US" w:eastAsia="zh-CN"/>
        </w:rPr>
        <w:t>19</w:t>
      </w:r>
      <w:r>
        <w:rPr>
          <w:rFonts w:hint="eastAsia" w:ascii="新宋体" w:hAnsi="新宋体" w:eastAsia="新宋体" w:cs="新宋体"/>
          <w:color w:val="auto"/>
          <w:kern w:val="0"/>
          <w:sz w:val="22"/>
          <w:szCs w:val="22"/>
          <w:highlight w:val="none"/>
        </w:rPr>
        <w:t>日</w:t>
      </w:r>
    </w:p>
    <w:p>
      <w:pPr>
        <w:pStyle w:val="3"/>
        <w:spacing w:line="360" w:lineRule="auto"/>
        <w:rPr>
          <w:rFonts w:hint="eastAsia" w:ascii="新宋体" w:hAnsi="新宋体" w:eastAsia="新宋体" w:cs="新宋体"/>
          <w:color w:val="auto"/>
          <w:sz w:val="32"/>
          <w:szCs w:val="32"/>
          <w:highlight w:val="none"/>
        </w:rPr>
      </w:pPr>
      <w:bookmarkStart w:id="5" w:name="_Toc29682"/>
      <w:bookmarkStart w:id="6" w:name="_Toc71374668"/>
    </w:p>
    <w:p>
      <w:pPr>
        <w:pStyle w:val="3"/>
        <w:spacing w:line="360" w:lineRule="auto"/>
        <w:rPr>
          <w:rFonts w:hint="eastAsia" w:ascii="新宋体" w:hAnsi="新宋体" w:eastAsia="新宋体" w:cs="新宋体"/>
          <w:color w:val="auto"/>
          <w:sz w:val="32"/>
          <w:szCs w:val="32"/>
          <w:highlight w:val="none"/>
        </w:rPr>
      </w:pPr>
    </w:p>
    <w:p>
      <w:pPr>
        <w:pStyle w:val="3"/>
        <w:spacing w:line="360" w:lineRule="auto"/>
        <w:rPr>
          <w:rFonts w:hint="eastAsia" w:ascii="新宋体" w:hAnsi="新宋体" w:eastAsia="新宋体" w:cs="新宋体"/>
          <w:color w:val="auto"/>
          <w:sz w:val="32"/>
          <w:szCs w:val="32"/>
          <w:highlight w:val="none"/>
        </w:rPr>
      </w:pPr>
    </w:p>
    <w:p>
      <w:pPr>
        <w:pStyle w:val="3"/>
        <w:spacing w:line="360" w:lineRule="auto"/>
        <w:rPr>
          <w:rFonts w:hint="eastAsia" w:ascii="新宋体" w:hAnsi="新宋体" w:eastAsia="新宋体" w:cs="新宋体"/>
          <w:color w:val="auto"/>
          <w:sz w:val="32"/>
          <w:szCs w:val="32"/>
          <w:highlight w:val="none"/>
        </w:rPr>
      </w:pPr>
    </w:p>
    <w:p>
      <w:pPr>
        <w:pStyle w:val="3"/>
        <w:spacing w:line="360" w:lineRule="auto"/>
        <w:rPr>
          <w:rFonts w:hint="eastAsia" w:ascii="新宋体" w:hAnsi="新宋体" w:eastAsia="新宋体" w:cs="新宋体"/>
          <w:color w:val="auto"/>
          <w:sz w:val="32"/>
          <w:szCs w:val="32"/>
          <w:highlight w:val="none"/>
        </w:rPr>
      </w:pPr>
    </w:p>
    <w:p>
      <w:pPr>
        <w:pStyle w:val="3"/>
        <w:spacing w:line="360" w:lineRule="auto"/>
        <w:rPr>
          <w:rFonts w:hint="eastAsia" w:ascii="新宋体" w:hAnsi="新宋体" w:eastAsia="新宋体" w:cs="新宋体"/>
          <w:color w:val="auto"/>
          <w:sz w:val="32"/>
          <w:szCs w:val="32"/>
          <w:highlight w:val="none"/>
        </w:rPr>
      </w:pPr>
    </w:p>
    <w:p>
      <w:pPr>
        <w:pStyle w:val="3"/>
        <w:spacing w:line="360" w:lineRule="auto"/>
        <w:rPr>
          <w:rFonts w:hint="eastAsia" w:ascii="新宋体" w:hAnsi="新宋体" w:eastAsia="新宋体" w:cs="新宋体"/>
          <w:color w:val="auto"/>
          <w:sz w:val="32"/>
          <w:szCs w:val="32"/>
          <w:highlight w:val="none"/>
        </w:rPr>
      </w:pPr>
    </w:p>
    <w:p>
      <w:pPr>
        <w:pStyle w:val="3"/>
        <w:spacing w:line="360" w:lineRule="auto"/>
        <w:rPr>
          <w:rFonts w:hint="eastAsia" w:ascii="新宋体" w:hAnsi="新宋体" w:eastAsia="新宋体" w:cs="新宋体"/>
          <w:color w:val="auto"/>
          <w:sz w:val="32"/>
          <w:szCs w:val="32"/>
          <w:highlight w:val="none"/>
        </w:rPr>
      </w:pPr>
    </w:p>
    <w:p>
      <w:pPr>
        <w:pStyle w:val="3"/>
        <w:spacing w:line="360" w:lineRule="auto"/>
        <w:rPr>
          <w:rFonts w:hint="eastAsia" w:ascii="新宋体" w:hAnsi="新宋体" w:eastAsia="新宋体" w:cs="新宋体"/>
          <w:color w:val="auto"/>
          <w:sz w:val="32"/>
          <w:szCs w:val="32"/>
          <w:highlight w:val="none"/>
        </w:rPr>
      </w:pPr>
    </w:p>
    <w:p>
      <w:pPr>
        <w:rPr>
          <w:rFonts w:hint="eastAsia" w:ascii="新宋体" w:hAnsi="新宋体" w:eastAsia="新宋体" w:cs="新宋体"/>
          <w:color w:val="auto"/>
          <w:sz w:val="32"/>
          <w:szCs w:val="32"/>
          <w:highlight w:val="none"/>
        </w:rPr>
      </w:pPr>
    </w:p>
    <w:p>
      <w:pPr>
        <w:pStyle w:val="17"/>
        <w:rPr>
          <w:rFonts w:hint="eastAsia"/>
          <w:color w:val="auto"/>
          <w:highlight w:val="none"/>
        </w:rPr>
      </w:pPr>
    </w:p>
    <w:p>
      <w:pPr>
        <w:rPr>
          <w:rFonts w:hint="eastAsia"/>
          <w:color w:val="auto"/>
          <w:highlight w:val="none"/>
        </w:rPr>
      </w:pPr>
    </w:p>
    <w:p>
      <w:pPr>
        <w:pStyle w:val="3"/>
        <w:spacing w:line="360" w:lineRule="auto"/>
        <w:rPr>
          <w:rFonts w:ascii="新宋体" w:hAnsi="新宋体" w:eastAsia="新宋体" w:cs="新宋体"/>
          <w:color w:val="auto"/>
          <w:sz w:val="32"/>
          <w:szCs w:val="32"/>
          <w:highlight w:val="none"/>
        </w:rPr>
      </w:pPr>
      <w:r>
        <w:rPr>
          <w:rFonts w:hint="eastAsia" w:ascii="新宋体" w:hAnsi="新宋体" w:eastAsia="新宋体" w:cs="新宋体"/>
          <w:color w:val="auto"/>
          <w:sz w:val="32"/>
          <w:szCs w:val="32"/>
          <w:highlight w:val="none"/>
        </w:rPr>
        <w:t>温州市城发集团所属</w:t>
      </w:r>
      <w:r>
        <w:rPr>
          <w:rFonts w:hint="eastAsia" w:ascii="新宋体" w:hAnsi="新宋体" w:eastAsia="新宋体" w:cs="新宋体"/>
          <w:color w:val="auto"/>
          <w:sz w:val="32"/>
          <w:szCs w:val="32"/>
          <w:highlight w:val="none"/>
          <w:lang w:eastAsia="zh-CN"/>
        </w:rPr>
        <w:t>温州瓯发市政工程有限公司</w:t>
      </w:r>
      <w:r>
        <w:rPr>
          <w:rFonts w:hint="eastAsia" w:ascii="新宋体" w:hAnsi="新宋体" w:eastAsia="新宋体" w:cs="新宋体"/>
          <w:color w:val="auto"/>
          <w:sz w:val="32"/>
          <w:szCs w:val="32"/>
          <w:highlight w:val="none"/>
        </w:rPr>
        <w:t>关于</w:t>
      </w:r>
      <w:r>
        <w:rPr>
          <w:rFonts w:hint="eastAsia" w:ascii="新宋体" w:hAnsi="新宋体" w:eastAsia="新宋体" w:cs="新宋体"/>
          <w:color w:val="auto"/>
          <w:sz w:val="32"/>
          <w:szCs w:val="32"/>
          <w:highlight w:val="none"/>
          <w:lang w:eastAsia="zh-CN"/>
        </w:rPr>
        <w:t>铣刨料破碎筛分设备采购</w:t>
      </w:r>
      <w:r>
        <w:rPr>
          <w:rFonts w:hint="eastAsia" w:ascii="新宋体" w:hAnsi="新宋体" w:eastAsia="新宋体" w:cs="新宋体"/>
          <w:color w:val="auto"/>
          <w:sz w:val="32"/>
          <w:szCs w:val="32"/>
          <w:highlight w:val="none"/>
        </w:rPr>
        <w:t>项目（自主）的征求意见公示</w:t>
      </w:r>
      <w:bookmarkEnd w:id="5"/>
      <w:bookmarkEnd w:id="6"/>
    </w:p>
    <w:p>
      <w:pPr>
        <w:pStyle w:val="17"/>
        <w:spacing w:line="360" w:lineRule="auto"/>
        <w:ind w:firstLine="0" w:firstLineChars="0"/>
        <w:rPr>
          <w:rFonts w:ascii="新宋体" w:hAnsi="新宋体" w:eastAsia="新宋体"/>
          <w:color w:val="auto"/>
          <w:highlight w:val="none"/>
        </w:rPr>
      </w:pPr>
    </w:p>
    <w:p>
      <w:pPr>
        <w:widowControl/>
        <w:spacing w:line="360" w:lineRule="auto"/>
        <w:ind w:left="60" w:right="60" w:firstLine="435"/>
        <w:jc w:val="lef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温州市智信招标代理有限公司就</w:t>
      </w:r>
      <w:r>
        <w:rPr>
          <w:rFonts w:hint="eastAsia" w:ascii="新宋体" w:hAnsi="新宋体" w:eastAsia="新宋体" w:cs="新宋体"/>
          <w:color w:val="auto"/>
          <w:kern w:val="0"/>
          <w:sz w:val="22"/>
          <w:szCs w:val="22"/>
          <w:highlight w:val="none"/>
          <w:lang w:eastAsia="zh-CN"/>
        </w:rPr>
        <w:t>温州瓯发市政工程有限公司铣刨料破碎筛分设备采购</w:t>
      </w:r>
      <w:r>
        <w:rPr>
          <w:rFonts w:hint="eastAsia" w:ascii="新宋体" w:hAnsi="新宋体" w:eastAsia="新宋体" w:cs="新宋体"/>
          <w:color w:val="auto"/>
          <w:kern w:val="0"/>
          <w:sz w:val="22"/>
          <w:szCs w:val="22"/>
          <w:highlight w:val="none"/>
        </w:rPr>
        <w:t>项目以公开招标方式进行国有企业采购。现将采购文件公布如下,并公开征求供应商及专家意见。</w:t>
      </w:r>
    </w:p>
    <w:p>
      <w:pPr>
        <w:widowControl/>
        <w:spacing w:line="360" w:lineRule="auto"/>
        <w:ind w:left="60" w:right="60" w:firstLine="435"/>
        <w:jc w:val="lef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一、征求意见范围：</w:t>
      </w:r>
    </w:p>
    <w:p>
      <w:pPr>
        <w:widowControl/>
        <w:spacing w:line="360" w:lineRule="auto"/>
        <w:ind w:left="60" w:right="60" w:firstLine="435"/>
        <w:jc w:val="lef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1.是否出现明显的倾向性意见和特定的性能指标；</w:t>
      </w:r>
    </w:p>
    <w:p>
      <w:pPr>
        <w:widowControl/>
        <w:spacing w:line="360" w:lineRule="auto"/>
        <w:ind w:left="60" w:right="60" w:firstLine="435"/>
        <w:jc w:val="lef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2.供应商资格条件是否具有明显倾向性和歧视性；</w:t>
      </w:r>
    </w:p>
    <w:p>
      <w:pPr>
        <w:widowControl/>
        <w:spacing w:line="360" w:lineRule="auto"/>
        <w:ind w:left="60" w:right="60" w:firstLine="435"/>
        <w:jc w:val="lef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3.影响国有企业采购“公开、公平、公正”原则的其他情况。 </w:t>
      </w:r>
    </w:p>
    <w:p>
      <w:pPr>
        <w:widowControl/>
        <w:spacing w:line="360" w:lineRule="auto"/>
        <w:ind w:left="60" w:right="60" w:firstLine="435"/>
        <w:jc w:val="lef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二、征求意见的回复：</w:t>
      </w:r>
    </w:p>
    <w:p>
      <w:pPr>
        <w:widowControl/>
        <w:spacing w:line="360" w:lineRule="auto"/>
        <w:ind w:left="60" w:right="60" w:firstLine="435"/>
        <w:jc w:val="lef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  各供应商及专家提出修改理由和建议的，请于202</w:t>
      </w:r>
      <w:r>
        <w:rPr>
          <w:rFonts w:hint="eastAsia" w:ascii="新宋体" w:hAnsi="新宋体" w:eastAsia="新宋体" w:cs="新宋体"/>
          <w:color w:val="auto"/>
          <w:kern w:val="0"/>
          <w:sz w:val="22"/>
          <w:szCs w:val="22"/>
          <w:highlight w:val="none"/>
          <w:lang w:val="en-US" w:eastAsia="zh-CN"/>
        </w:rPr>
        <w:t>3</w:t>
      </w:r>
      <w:r>
        <w:rPr>
          <w:rFonts w:hint="eastAsia" w:ascii="新宋体" w:hAnsi="新宋体" w:eastAsia="新宋体" w:cs="新宋体"/>
          <w:color w:val="auto"/>
          <w:kern w:val="0"/>
          <w:sz w:val="22"/>
          <w:szCs w:val="22"/>
          <w:highlight w:val="none"/>
        </w:rPr>
        <w:t>年</w:t>
      </w:r>
      <w:r>
        <w:rPr>
          <w:rFonts w:hint="eastAsia" w:ascii="新宋体" w:hAnsi="新宋体" w:eastAsia="新宋体" w:cs="新宋体"/>
          <w:color w:val="auto"/>
          <w:kern w:val="0"/>
          <w:sz w:val="22"/>
          <w:szCs w:val="22"/>
          <w:highlight w:val="none"/>
          <w:lang w:val="en-US" w:eastAsia="zh-CN"/>
        </w:rPr>
        <w:t>07</w:t>
      </w:r>
      <w:r>
        <w:rPr>
          <w:rFonts w:hint="eastAsia" w:ascii="新宋体" w:hAnsi="新宋体" w:eastAsia="新宋体" w:cs="新宋体"/>
          <w:color w:val="auto"/>
          <w:kern w:val="0"/>
          <w:sz w:val="22"/>
          <w:szCs w:val="22"/>
          <w:highlight w:val="none"/>
        </w:rPr>
        <w:t>月</w:t>
      </w:r>
      <w:r>
        <w:rPr>
          <w:rFonts w:hint="eastAsia" w:ascii="新宋体" w:hAnsi="新宋体" w:eastAsia="新宋体" w:cs="新宋体"/>
          <w:color w:val="auto"/>
          <w:kern w:val="0"/>
          <w:sz w:val="22"/>
          <w:szCs w:val="22"/>
          <w:highlight w:val="none"/>
          <w:lang w:val="en-US" w:eastAsia="zh-CN"/>
        </w:rPr>
        <w:t>24</w:t>
      </w:r>
      <w:r>
        <w:rPr>
          <w:rFonts w:hint="eastAsia" w:ascii="新宋体" w:hAnsi="新宋体" w:eastAsia="新宋体" w:cs="新宋体"/>
          <w:color w:val="auto"/>
          <w:kern w:val="0"/>
          <w:sz w:val="22"/>
          <w:szCs w:val="22"/>
          <w:highlight w:val="none"/>
        </w:rPr>
        <w:t>日下午17:00前（节假日除外）将书面材料签字（盖章）并密封后送至</w:t>
      </w:r>
      <w:r>
        <w:rPr>
          <w:rFonts w:hint="eastAsia" w:ascii="新宋体" w:hAnsi="新宋体" w:eastAsia="新宋体" w:cs="新宋体"/>
          <w:color w:val="auto"/>
          <w:kern w:val="0"/>
          <w:sz w:val="22"/>
          <w:szCs w:val="22"/>
          <w:highlight w:val="none"/>
          <w:lang w:eastAsia="zh-CN"/>
        </w:rPr>
        <w:t>温州市瓯海区新桥街道高昂路1号牛山广场2号楼1409室</w:t>
      </w:r>
      <w:r>
        <w:rPr>
          <w:rFonts w:hint="eastAsia" w:ascii="新宋体" w:hAnsi="新宋体" w:eastAsia="新宋体" w:cs="新宋体"/>
          <w:color w:val="auto"/>
          <w:kern w:val="0"/>
          <w:sz w:val="22"/>
          <w:szCs w:val="22"/>
          <w:highlight w:val="none"/>
        </w:rPr>
        <w:t>，外地可传真送达，传真：0577-88270122，传真件必须签字（盖章）。同时将电子文档发送至以下信箱：43759625@qq.com 。</w:t>
      </w:r>
    </w:p>
    <w:p>
      <w:pPr>
        <w:widowControl/>
        <w:spacing w:line="360" w:lineRule="auto"/>
        <w:ind w:left="60" w:right="60" w:firstLine="435"/>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 联系人：熊先生 联系电话：13676780329。对逾期送达的意见、建议书恕不接受。</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三、相关附件：</w:t>
      </w:r>
    </w:p>
    <w:p>
      <w:pPr>
        <w:widowControl/>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采购文件</w:t>
      </w:r>
    </w:p>
    <w:p>
      <w:pPr>
        <w:pStyle w:val="17"/>
        <w:ind w:firstLine="200"/>
        <w:rPr>
          <w:color w:val="auto"/>
          <w:highlight w:val="none"/>
        </w:rPr>
      </w:pPr>
    </w:p>
    <w:p>
      <w:pPr>
        <w:widowControl/>
        <w:spacing w:line="360" w:lineRule="auto"/>
        <w:jc w:val="right"/>
        <w:rPr>
          <w:rFonts w:ascii="新宋体" w:hAnsi="新宋体" w:eastAsia="新宋体" w:cs="新宋体"/>
          <w:color w:val="auto"/>
          <w:szCs w:val="21"/>
          <w:highlight w:val="none"/>
        </w:rPr>
      </w:pPr>
      <w:r>
        <w:rPr>
          <w:rFonts w:hint="eastAsia" w:ascii="新宋体" w:hAnsi="新宋体" w:eastAsia="新宋体" w:cs="新宋体"/>
          <w:color w:val="auto"/>
          <w:kern w:val="0"/>
          <w:sz w:val="22"/>
          <w:szCs w:val="22"/>
          <w:highlight w:val="none"/>
        </w:rPr>
        <w:t> </w:t>
      </w:r>
    </w:p>
    <w:p>
      <w:pPr>
        <w:widowControl/>
        <w:spacing w:line="360" w:lineRule="auto"/>
        <w:jc w:val="right"/>
        <w:rPr>
          <w:rFonts w:ascii="新宋体" w:hAnsi="新宋体" w:eastAsia="新宋体" w:cs="新宋体"/>
          <w:color w:val="auto"/>
          <w:szCs w:val="21"/>
          <w:highlight w:val="none"/>
        </w:rPr>
      </w:pPr>
      <w:r>
        <w:rPr>
          <w:rFonts w:hint="eastAsia" w:ascii="新宋体" w:hAnsi="新宋体" w:eastAsia="新宋体" w:cs="新宋体"/>
          <w:color w:val="auto"/>
          <w:kern w:val="0"/>
          <w:sz w:val="22"/>
          <w:szCs w:val="22"/>
          <w:highlight w:val="none"/>
        </w:rPr>
        <w:t> </w:t>
      </w:r>
    </w:p>
    <w:p>
      <w:pPr>
        <w:widowControl/>
        <w:spacing w:line="360" w:lineRule="auto"/>
        <w:jc w:val="right"/>
        <w:rPr>
          <w:rFonts w:ascii="新宋体" w:hAnsi="新宋体" w:eastAsia="新宋体" w:cs="新宋体"/>
          <w:color w:val="auto"/>
          <w:szCs w:val="21"/>
          <w:highlight w:val="none"/>
        </w:rPr>
      </w:pPr>
      <w:r>
        <w:rPr>
          <w:rFonts w:hint="eastAsia" w:ascii="新宋体" w:hAnsi="新宋体" w:eastAsia="新宋体" w:cs="新宋体"/>
          <w:color w:val="auto"/>
          <w:kern w:val="0"/>
          <w:sz w:val="22"/>
          <w:szCs w:val="22"/>
          <w:highlight w:val="none"/>
        </w:rPr>
        <w:t> </w:t>
      </w:r>
    </w:p>
    <w:p>
      <w:pPr>
        <w:widowControl/>
        <w:spacing w:line="360" w:lineRule="auto"/>
        <w:jc w:val="right"/>
        <w:rPr>
          <w:rFonts w:ascii="新宋体" w:hAnsi="新宋体" w:eastAsia="新宋体" w:cs="新宋体"/>
          <w:color w:val="auto"/>
          <w:szCs w:val="21"/>
          <w:highlight w:val="none"/>
        </w:rPr>
      </w:pPr>
      <w:r>
        <w:rPr>
          <w:rFonts w:hint="eastAsia" w:ascii="新宋体" w:hAnsi="新宋体" w:eastAsia="新宋体" w:cs="新宋体"/>
          <w:color w:val="auto"/>
          <w:kern w:val="0"/>
          <w:sz w:val="22"/>
          <w:szCs w:val="22"/>
          <w:highlight w:val="none"/>
        </w:rPr>
        <w:t> </w:t>
      </w:r>
    </w:p>
    <w:p>
      <w:pPr>
        <w:widowControl/>
        <w:spacing w:line="360" w:lineRule="auto"/>
        <w:jc w:val="right"/>
        <w:rPr>
          <w:rFonts w:hint="eastAsia" w:ascii="新宋体" w:hAnsi="新宋体" w:eastAsia="新宋体" w:cs="新宋体"/>
          <w:color w:val="auto"/>
          <w:szCs w:val="21"/>
          <w:highlight w:val="none"/>
          <w:lang w:eastAsia="zh-CN"/>
        </w:rPr>
      </w:pPr>
      <w:r>
        <w:rPr>
          <w:rFonts w:hint="eastAsia" w:ascii="新宋体" w:hAnsi="新宋体" w:eastAsia="新宋体" w:cs="新宋体"/>
          <w:color w:val="auto"/>
          <w:kern w:val="0"/>
          <w:sz w:val="22"/>
          <w:szCs w:val="22"/>
          <w:highlight w:val="none"/>
          <w:lang w:eastAsia="zh-CN"/>
        </w:rPr>
        <w:t>温州瓯发市政工程有限公司</w:t>
      </w:r>
    </w:p>
    <w:p>
      <w:pPr>
        <w:widowControl/>
        <w:spacing w:line="360" w:lineRule="auto"/>
        <w:jc w:val="right"/>
        <w:rPr>
          <w:rFonts w:ascii="新宋体" w:hAnsi="新宋体" w:eastAsia="新宋体" w:cs="新宋体"/>
          <w:color w:val="auto"/>
          <w:szCs w:val="21"/>
          <w:highlight w:val="none"/>
        </w:rPr>
      </w:pPr>
      <w:r>
        <w:rPr>
          <w:rFonts w:hint="eastAsia" w:ascii="新宋体" w:hAnsi="新宋体" w:eastAsia="新宋体" w:cs="新宋体"/>
          <w:color w:val="auto"/>
          <w:kern w:val="0"/>
          <w:sz w:val="22"/>
          <w:szCs w:val="22"/>
          <w:highlight w:val="none"/>
        </w:rPr>
        <w:t>温州市智信招标代理有限公司</w:t>
      </w:r>
    </w:p>
    <w:p>
      <w:pPr>
        <w:widowControl/>
        <w:spacing w:before="60" w:after="60" w:line="360" w:lineRule="auto"/>
        <w:ind w:right="60"/>
        <w:jc w:val="right"/>
        <w:rPr>
          <w:rFonts w:ascii="新宋体" w:hAnsi="新宋体" w:eastAsia="新宋体" w:cs="新宋体"/>
          <w:color w:val="auto"/>
          <w:highlight w:val="none"/>
        </w:rPr>
      </w:pPr>
      <w:r>
        <w:rPr>
          <w:rFonts w:hint="eastAsia" w:ascii="新宋体" w:hAnsi="新宋体" w:eastAsia="新宋体" w:cs="新宋体"/>
          <w:color w:val="auto"/>
          <w:kern w:val="0"/>
          <w:sz w:val="22"/>
          <w:szCs w:val="22"/>
          <w:highlight w:val="none"/>
        </w:rPr>
        <w:t>202</w:t>
      </w:r>
      <w:r>
        <w:rPr>
          <w:rFonts w:hint="eastAsia" w:ascii="新宋体" w:hAnsi="新宋体" w:eastAsia="新宋体" w:cs="新宋体"/>
          <w:color w:val="auto"/>
          <w:kern w:val="0"/>
          <w:sz w:val="22"/>
          <w:szCs w:val="22"/>
          <w:highlight w:val="none"/>
          <w:lang w:val="en-US" w:eastAsia="zh-CN"/>
        </w:rPr>
        <w:t>3</w:t>
      </w:r>
      <w:r>
        <w:rPr>
          <w:rFonts w:hint="eastAsia" w:ascii="新宋体" w:hAnsi="新宋体" w:eastAsia="新宋体" w:cs="新宋体"/>
          <w:color w:val="auto"/>
          <w:kern w:val="0"/>
          <w:sz w:val="22"/>
          <w:szCs w:val="22"/>
          <w:highlight w:val="none"/>
        </w:rPr>
        <w:t>年</w:t>
      </w:r>
      <w:r>
        <w:rPr>
          <w:rFonts w:hint="eastAsia" w:ascii="新宋体" w:hAnsi="新宋体" w:eastAsia="新宋体" w:cs="新宋体"/>
          <w:color w:val="auto"/>
          <w:kern w:val="0"/>
          <w:sz w:val="22"/>
          <w:szCs w:val="22"/>
          <w:highlight w:val="none"/>
          <w:lang w:val="en-US" w:eastAsia="zh-CN"/>
        </w:rPr>
        <w:t>07</w:t>
      </w:r>
      <w:r>
        <w:rPr>
          <w:rFonts w:hint="eastAsia" w:ascii="新宋体" w:hAnsi="新宋体" w:eastAsia="新宋体" w:cs="新宋体"/>
          <w:color w:val="auto"/>
          <w:kern w:val="0"/>
          <w:sz w:val="22"/>
          <w:szCs w:val="22"/>
          <w:highlight w:val="none"/>
        </w:rPr>
        <w:t>月</w:t>
      </w:r>
      <w:r>
        <w:rPr>
          <w:rFonts w:hint="eastAsia" w:ascii="新宋体" w:hAnsi="新宋体" w:eastAsia="新宋体" w:cs="新宋体"/>
          <w:color w:val="auto"/>
          <w:kern w:val="0"/>
          <w:sz w:val="22"/>
          <w:szCs w:val="22"/>
          <w:highlight w:val="none"/>
          <w:lang w:val="en-US" w:eastAsia="zh-CN"/>
        </w:rPr>
        <w:t>19</w:t>
      </w:r>
      <w:r>
        <w:rPr>
          <w:rFonts w:hint="eastAsia" w:ascii="新宋体" w:hAnsi="新宋体" w:eastAsia="新宋体" w:cs="新宋体"/>
          <w:color w:val="auto"/>
          <w:kern w:val="0"/>
          <w:sz w:val="22"/>
          <w:szCs w:val="22"/>
          <w:highlight w:val="none"/>
        </w:rPr>
        <w:t>日</w:t>
      </w:r>
    </w:p>
    <w:p>
      <w:pPr>
        <w:widowControl/>
        <w:spacing w:line="360" w:lineRule="auto"/>
        <w:jc w:val="right"/>
        <w:rPr>
          <w:rFonts w:ascii="新宋体" w:hAnsi="新宋体" w:eastAsia="新宋体" w:cs="新宋体"/>
          <w:color w:val="auto"/>
          <w:szCs w:val="21"/>
          <w:highlight w:val="none"/>
        </w:rPr>
      </w:pPr>
    </w:p>
    <w:p>
      <w:pPr>
        <w:widowControl/>
        <w:spacing w:line="360" w:lineRule="auto"/>
        <w:jc w:val="right"/>
        <w:rPr>
          <w:rFonts w:ascii="新宋体" w:hAnsi="新宋体" w:eastAsia="新宋体" w:cs="新宋体"/>
          <w:color w:val="auto"/>
          <w:szCs w:val="21"/>
          <w:highlight w:val="none"/>
        </w:rPr>
      </w:pPr>
    </w:p>
    <w:p>
      <w:pPr>
        <w:widowControl/>
        <w:spacing w:line="360" w:lineRule="auto"/>
        <w:jc w:val="right"/>
        <w:rPr>
          <w:rFonts w:ascii="新宋体" w:hAnsi="新宋体" w:eastAsia="新宋体" w:cs="新宋体"/>
          <w:color w:val="auto"/>
          <w:szCs w:val="21"/>
          <w:highlight w:val="none"/>
        </w:rPr>
      </w:pPr>
    </w:p>
    <w:p>
      <w:pPr>
        <w:widowControl/>
        <w:spacing w:line="360" w:lineRule="auto"/>
        <w:rPr>
          <w:rFonts w:ascii="新宋体" w:hAnsi="新宋体" w:eastAsia="新宋体" w:cs="新宋体"/>
          <w:color w:val="auto"/>
          <w:szCs w:val="21"/>
          <w:highlight w:val="none"/>
        </w:rPr>
      </w:pPr>
    </w:p>
    <w:p>
      <w:pPr>
        <w:widowControl/>
        <w:spacing w:line="360" w:lineRule="auto"/>
        <w:jc w:val="right"/>
        <w:rPr>
          <w:rFonts w:ascii="新宋体" w:hAnsi="新宋体" w:eastAsia="新宋体" w:cs="新宋体"/>
          <w:color w:val="auto"/>
          <w:szCs w:val="21"/>
          <w:highlight w:val="none"/>
        </w:rPr>
      </w:pPr>
    </w:p>
    <w:p>
      <w:pPr>
        <w:widowControl/>
        <w:spacing w:line="360" w:lineRule="auto"/>
        <w:jc w:val="right"/>
        <w:rPr>
          <w:rFonts w:ascii="新宋体" w:hAnsi="新宋体" w:eastAsia="新宋体" w:cs="新宋体"/>
          <w:color w:val="auto"/>
          <w:szCs w:val="21"/>
          <w:highlight w:val="none"/>
        </w:rPr>
      </w:pPr>
    </w:p>
    <w:p>
      <w:pPr>
        <w:widowControl/>
        <w:spacing w:line="360" w:lineRule="auto"/>
        <w:jc w:val="right"/>
        <w:rPr>
          <w:rFonts w:ascii="新宋体" w:hAnsi="新宋体" w:eastAsia="新宋体" w:cs="新宋体"/>
          <w:color w:val="auto"/>
          <w:szCs w:val="21"/>
          <w:highlight w:val="none"/>
        </w:rPr>
      </w:pPr>
    </w:p>
    <w:p>
      <w:pPr>
        <w:rPr>
          <w:rFonts w:ascii="新宋体" w:hAnsi="新宋体" w:eastAsia="新宋体"/>
          <w:color w:val="auto"/>
          <w:highlight w:val="none"/>
        </w:rPr>
      </w:pPr>
    </w:p>
    <w:p>
      <w:pPr>
        <w:pStyle w:val="17"/>
        <w:ind w:firstLine="200"/>
        <w:rPr>
          <w:rFonts w:ascii="新宋体" w:hAnsi="新宋体" w:eastAsia="新宋体"/>
          <w:color w:val="auto"/>
          <w:highlight w:val="none"/>
        </w:rPr>
      </w:pPr>
    </w:p>
    <w:p>
      <w:pPr>
        <w:pStyle w:val="3"/>
        <w:rPr>
          <w:rFonts w:ascii="新宋体" w:hAnsi="新宋体" w:eastAsia="新宋体" w:cs="新宋体"/>
          <w:color w:val="auto"/>
          <w:sz w:val="36"/>
          <w:szCs w:val="36"/>
          <w:highlight w:val="none"/>
        </w:rPr>
      </w:pPr>
      <w:bookmarkStart w:id="7" w:name="_Toc2956"/>
      <w:bookmarkStart w:id="8" w:name="_Toc71374669"/>
      <w:r>
        <w:rPr>
          <w:rFonts w:hint="eastAsia" w:ascii="新宋体" w:hAnsi="新宋体" w:eastAsia="新宋体" w:cs="新宋体"/>
          <w:color w:val="auto"/>
          <w:sz w:val="36"/>
          <w:szCs w:val="36"/>
          <w:highlight w:val="none"/>
        </w:rPr>
        <w:t>投标人须知前附表</w:t>
      </w:r>
      <w:bookmarkEnd w:id="7"/>
      <w:bookmarkEnd w:id="8"/>
    </w:p>
    <w:tbl>
      <w:tblPr>
        <w:tblStyle w:val="18"/>
        <w:tblW w:w="5000" w:type="pct"/>
        <w:tblInd w:w="0" w:type="dxa"/>
        <w:tblLayout w:type="autofit"/>
        <w:tblCellMar>
          <w:top w:w="0" w:type="dxa"/>
          <w:left w:w="108" w:type="dxa"/>
          <w:bottom w:w="0" w:type="dxa"/>
          <w:right w:w="108" w:type="dxa"/>
        </w:tblCellMar>
      </w:tblPr>
      <w:tblGrid>
        <w:gridCol w:w="708"/>
        <w:gridCol w:w="1865"/>
        <w:gridCol w:w="7281"/>
      </w:tblGrid>
      <w:tr>
        <w:tblPrEx>
          <w:tblCellMar>
            <w:top w:w="0" w:type="dxa"/>
            <w:left w:w="108" w:type="dxa"/>
            <w:bottom w:w="0" w:type="dxa"/>
            <w:right w:w="108" w:type="dxa"/>
          </w:tblCellMar>
        </w:tblPrEx>
        <w:trPr>
          <w:trHeight w:val="669" w:hRule="atLeast"/>
          <w:tblHeader/>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序号</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条款名称</w:t>
            </w:r>
          </w:p>
        </w:tc>
        <w:tc>
          <w:tcPr>
            <w:tcW w:w="3693"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编列内容</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采购人</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采购人：</w:t>
            </w:r>
            <w:r>
              <w:rPr>
                <w:rFonts w:hint="eastAsia" w:ascii="新宋体" w:hAnsi="新宋体" w:eastAsia="新宋体" w:cs="新宋体"/>
                <w:color w:val="auto"/>
                <w:kern w:val="0"/>
                <w:sz w:val="22"/>
                <w:szCs w:val="22"/>
                <w:highlight w:val="none"/>
                <w:lang w:eastAsia="zh-CN"/>
              </w:rPr>
              <w:t>温州瓯发市政工程有限公司</w:t>
            </w:r>
            <w:r>
              <w:rPr>
                <w:rFonts w:hint="eastAsia" w:ascii="新宋体" w:hAnsi="新宋体" w:eastAsia="新宋体" w:cs="新宋体"/>
                <w:color w:val="auto"/>
                <w:kern w:val="0"/>
                <w:sz w:val="22"/>
                <w:szCs w:val="22"/>
                <w:highlight w:val="none"/>
              </w:rPr>
              <w:t xml:space="preserve"> </w:t>
            </w:r>
          </w:p>
          <w:p>
            <w:pP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地址：</w:t>
            </w:r>
            <w:r>
              <w:rPr>
                <w:rFonts w:hint="eastAsia" w:ascii="新宋体" w:hAnsi="新宋体" w:eastAsia="新宋体" w:cs="新宋体"/>
                <w:color w:val="auto"/>
                <w:kern w:val="0"/>
                <w:sz w:val="22"/>
                <w:szCs w:val="22"/>
                <w:highlight w:val="none"/>
                <w:lang w:eastAsia="zh-CN"/>
              </w:rPr>
              <w:t>温州市瓯海区仙岩街道沈岙村南洋路15号</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eastAsia="zh-CN"/>
              </w:rPr>
              <w:t>毕先生</w:t>
            </w:r>
            <w:r>
              <w:rPr>
                <w:rFonts w:hint="eastAsia" w:ascii="新宋体" w:hAnsi="新宋体" w:eastAsia="新宋体" w:cs="新宋体"/>
                <w:color w:val="auto"/>
                <w:kern w:val="0"/>
                <w:sz w:val="22"/>
                <w:szCs w:val="22"/>
                <w:highlight w:val="none"/>
              </w:rPr>
              <w:t xml:space="preserve">  </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联系电话：0577-88875755</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采购代理机构</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代理机构名称：温州市智信招标代理有限公司</w:t>
            </w:r>
          </w:p>
          <w:p>
            <w:pP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代理机构地址：</w:t>
            </w:r>
            <w:r>
              <w:rPr>
                <w:rFonts w:hint="eastAsia" w:ascii="新宋体" w:hAnsi="新宋体" w:eastAsia="新宋体" w:cs="新宋体"/>
                <w:color w:val="auto"/>
                <w:kern w:val="0"/>
                <w:sz w:val="22"/>
                <w:szCs w:val="22"/>
                <w:highlight w:val="none"/>
                <w:lang w:eastAsia="zh-CN"/>
              </w:rPr>
              <w:t>温州市瓯海区新桥街道高昂路1号牛山广场2号楼1409室</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联系人：苏先生/叶先生</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联系电话： 13626506308/13958779970</w:t>
            </w:r>
          </w:p>
        </w:tc>
      </w:tr>
      <w:tr>
        <w:tblPrEx>
          <w:tblCellMar>
            <w:top w:w="0" w:type="dxa"/>
            <w:left w:w="108" w:type="dxa"/>
            <w:bottom w:w="0" w:type="dxa"/>
            <w:right w:w="108" w:type="dxa"/>
          </w:tblCellMar>
        </w:tblPrEx>
        <w:trPr>
          <w:trHeight w:val="9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项目名称</w:t>
            </w:r>
          </w:p>
        </w:tc>
        <w:tc>
          <w:tcPr>
            <w:tcW w:w="3693" w:type="pct"/>
            <w:tcBorders>
              <w:top w:val="single" w:color="auto" w:sz="4" w:space="0"/>
              <w:left w:val="single" w:color="auto" w:sz="4" w:space="0"/>
              <w:bottom w:val="single" w:color="auto" w:sz="4" w:space="0"/>
              <w:right w:val="single" w:color="auto" w:sz="4" w:space="0"/>
            </w:tcBorders>
            <w:vAlign w:val="center"/>
          </w:tcPr>
          <w:p>
            <w:pP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项目名称:</w:t>
            </w:r>
            <w:r>
              <w:rPr>
                <w:rFonts w:hint="eastAsia" w:ascii="新宋体" w:hAnsi="新宋体" w:eastAsia="新宋体" w:cs="新宋体"/>
                <w:color w:val="auto"/>
                <w:kern w:val="0"/>
                <w:sz w:val="22"/>
                <w:szCs w:val="22"/>
                <w:highlight w:val="none"/>
                <w:lang w:eastAsia="zh-CN"/>
              </w:rPr>
              <w:t>铣刨料破碎筛分设备采购</w:t>
            </w:r>
          </w:p>
          <w:p>
            <w:pP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项目编号：</w:t>
            </w:r>
            <w:r>
              <w:rPr>
                <w:rFonts w:hint="eastAsia" w:ascii="新宋体" w:hAnsi="新宋体" w:eastAsia="新宋体" w:cs="新宋体"/>
                <w:color w:val="auto"/>
                <w:kern w:val="0"/>
                <w:sz w:val="22"/>
                <w:szCs w:val="22"/>
                <w:highlight w:val="none"/>
                <w:lang w:eastAsia="zh-CN"/>
              </w:rPr>
              <w:t>WGSS-CFJT-Z-2023041</w:t>
            </w:r>
          </w:p>
        </w:tc>
      </w:tr>
      <w:tr>
        <w:tblPrEx>
          <w:tblCellMar>
            <w:top w:w="0" w:type="dxa"/>
            <w:left w:w="108" w:type="dxa"/>
            <w:bottom w:w="0" w:type="dxa"/>
            <w:right w:w="108" w:type="dxa"/>
          </w:tblCellMar>
        </w:tblPrEx>
        <w:trPr>
          <w:trHeight w:val="82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采购内容</w:t>
            </w:r>
          </w:p>
        </w:tc>
        <w:tc>
          <w:tcPr>
            <w:tcW w:w="3693" w:type="pct"/>
            <w:tcBorders>
              <w:top w:val="single" w:color="auto" w:sz="4" w:space="0"/>
              <w:left w:val="single" w:color="auto" w:sz="4" w:space="0"/>
              <w:bottom w:val="single" w:color="auto" w:sz="4" w:space="0"/>
              <w:right w:val="single" w:color="auto" w:sz="4" w:space="0"/>
            </w:tcBorders>
            <w:vAlign w:val="center"/>
          </w:tcPr>
          <w:p>
            <w:pPr>
              <w:rPr>
                <w:rFonts w:hint="default"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eastAsia="zh-CN"/>
              </w:rPr>
              <w:t>铣刨料破碎筛分设备采购</w:t>
            </w:r>
            <w:r>
              <w:rPr>
                <w:rFonts w:hint="eastAsia" w:ascii="新宋体" w:hAnsi="新宋体" w:eastAsia="新宋体" w:cs="新宋体"/>
                <w:color w:val="auto"/>
                <w:kern w:val="0"/>
                <w:sz w:val="22"/>
                <w:szCs w:val="22"/>
                <w:highlight w:val="none"/>
              </w:rPr>
              <w:t>，具体采购内容及详细技术要求见采购文件相关部分。</w:t>
            </w:r>
            <w:r>
              <w:rPr>
                <w:rFonts w:hint="eastAsia" w:ascii="新宋体" w:hAnsi="新宋体" w:eastAsia="新宋体" w:cs="新宋体"/>
                <w:color w:val="auto"/>
                <w:kern w:val="0"/>
                <w:sz w:val="22"/>
                <w:szCs w:val="22"/>
                <w:highlight w:val="none"/>
                <w:lang w:val="en-US" w:eastAsia="zh-CN"/>
              </w:rPr>
              <w:t>预算金额90万元整，最高限价70万元整。</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5</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供货时间</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kern w:val="0"/>
                <w:sz w:val="22"/>
                <w:szCs w:val="22"/>
                <w:highlight w:val="none"/>
              </w:rPr>
            </w:pPr>
            <w:r>
              <w:rPr>
                <w:rFonts w:hint="eastAsia" w:ascii="宋体" w:hAnsi="宋体" w:cs="宋体"/>
                <w:color w:val="auto"/>
                <w:kern w:val="0"/>
                <w:sz w:val="22"/>
                <w:szCs w:val="22"/>
                <w:highlight w:val="none"/>
              </w:rPr>
              <w:t>合同签订后30个日历天内完成设备供货、安装、调试并通过采购人组织的验收。</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6</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投标人资格</w:t>
            </w:r>
          </w:p>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要求</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1、符合《温州市市属国有企业采购管理办法（试行）》第十五条对供应商参加温州市国有企业采购活动应当具备的条件的要求；</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2、投标人未被列入“信用中国”网(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新宋体" w:hAnsi="新宋体" w:eastAsia="新宋体" w:cs="新宋体"/>
                <w:color w:val="auto"/>
                <w:kern w:val="0"/>
                <w:sz w:val="22"/>
                <w:szCs w:val="22"/>
                <w:highlight w:val="none"/>
              </w:rPr>
              <w:t>www.creditchina.gov.cn</w:t>
            </w:r>
            <w:r>
              <w:rPr>
                <w:rFonts w:hint="eastAsia" w:ascii="新宋体" w:hAnsi="新宋体" w:eastAsia="新宋体" w:cs="新宋体"/>
                <w:color w:val="auto"/>
                <w:kern w:val="0"/>
                <w:sz w:val="22"/>
                <w:szCs w:val="22"/>
                <w:highlight w:val="none"/>
              </w:rPr>
              <w:fldChar w:fldCharType="end"/>
            </w:r>
            <w:r>
              <w:rPr>
                <w:rFonts w:hint="eastAsia" w:ascii="新宋体" w:hAnsi="新宋体" w:eastAsia="新宋体" w:cs="新宋体"/>
                <w:color w:val="auto"/>
                <w:kern w:val="0"/>
                <w:sz w:val="22"/>
                <w:szCs w:val="22"/>
                <w:highlight w:val="none"/>
              </w:rPr>
              <w:t>)、中国政府采购网（http://www.ccgp.gov.cn/）失信被执行人、重大税收违法案件当事人名单、政府采购严重违法失信行为记录名单且尚处于禁止参加采购活动期内；</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3、单位负责人为同一人或者存在直接控股、管理关系的不同供应商，不得参加同一合同项下的国企采购活动；</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7</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是否接受联合体投标</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不接受</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8</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踏勘现场</w:t>
            </w:r>
          </w:p>
        </w:tc>
        <w:tc>
          <w:tcPr>
            <w:tcW w:w="3693" w:type="pct"/>
            <w:tcBorders>
              <w:top w:val="single" w:color="auto" w:sz="4" w:space="0"/>
              <w:left w:val="single" w:color="auto" w:sz="4" w:space="0"/>
              <w:bottom w:val="single" w:color="auto" w:sz="4" w:space="0"/>
              <w:right w:val="single" w:color="auto" w:sz="4" w:space="0"/>
            </w:tcBorders>
            <w:vAlign w:val="center"/>
          </w:tcPr>
          <w:p>
            <w:pPr>
              <w:rPr>
                <w:rFonts w:hint="default"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rPr>
              <w:t>不组织。</w:t>
            </w:r>
            <w:r>
              <w:rPr>
                <w:rFonts w:hint="eastAsia" w:ascii="新宋体" w:hAnsi="新宋体" w:eastAsia="新宋体" w:cs="新宋体"/>
                <w:color w:val="auto"/>
                <w:kern w:val="0"/>
                <w:sz w:val="22"/>
                <w:szCs w:val="22"/>
                <w:highlight w:val="none"/>
                <w:lang w:val="en-US" w:eastAsia="zh-CN"/>
              </w:rPr>
              <w:t>供应商自行联系采购人前往现场踏勘。</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9</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投标预备会</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不召开</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10</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投标截止时间</w:t>
            </w:r>
          </w:p>
        </w:tc>
        <w:tc>
          <w:tcPr>
            <w:tcW w:w="3693" w:type="pct"/>
            <w:tcBorders>
              <w:top w:val="single" w:color="auto" w:sz="4" w:space="0"/>
              <w:left w:val="single" w:color="auto" w:sz="4" w:space="0"/>
              <w:bottom w:val="single" w:color="auto" w:sz="4" w:space="0"/>
              <w:right w:val="single" w:color="auto" w:sz="4" w:space="0"/>
            </w:tcBorders>
            <w:vAlign w:val="center"/>
          </w:tcPr>
          <w:p>
            <w:pP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2023年08月09日14：30</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11</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分包</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不允许</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12</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偏离</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偏差允许幅度及其处理方法：允许细微偏差，不允许重大偏差。由评标委员会判断，细微偏差要求投标人在评标结束前予以澄清、说明或补正，不接受要求进行的，评标委员会有权做无效标处理，详见评标办法。</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13</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投标有效期</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投标文件自投标截止时间起生效，有效期90天。</w:t>
            </w:r>
          </w:p>
        </w:tc>
      </w:tr>
      <w:tr>
        <w:tblPrEx>
          <w:tblCellMar>
            <w:top w:w="0" w:type="dxa"/>
            <w:left w:w="108" w:type="dxa"/>
            <w:bottom w:w="0" w:type="dxa"/>
            <w:right w:w="108" w:type="dxa"/>
          </w:tblCellMar>
        </w:tblPrEx>
        <w:trPr>
          <w:trHeight w:val="421"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14</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投标保证金</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投标保证金：人民币</w:t>
            </w:r>
            <w:r>
              <w:rPr>
                <w:rFonts w:hint="eastAsia" w:ascii="新宋体" w:hAnsi="新宋体" w:eastAsia="新宋体" w:cs="新宋体"/>
                <w:color w:val="auto"/>
                <w:kern w:val="0"/>
                <w:sz w:val="22"/>
                <w:szCs w:val="22"/>
                <w:highlight w:val="none"/>
                <w:lang w:val="en-US" w:eastAsia="zh-CN"/>
              </w:rPr>
              <w:t>柒</w:t>
            </w:r>
            <w:r>
              <w:rPr>
                <w:rFonts w:hint="eastAsia" w:ascii="新宋体" w:hAnsi="新宋体" w:eastAsia="新宋体" w:cs="新宋体"/>
                <w:color w:val="auto"/>
                <w:kern w:val="0"/>
                <w:sz w:val="22"/>
                <w:szCs w:val="22"/>
                <w:highlight w:val="none"/>
              </w:rPr>
              <w:t>仟元（¥</w:t>
            </w:r>
            <w:r>
              <w:rPr>
                <w:rFonts w:hint="eastAsia" w:ascii="新宋体" w:hAnsi="新宋体" w:eastAsia="新宋体" w:cs="新宋体"/>
                <w:color w:val="auto"/>
                <w:kern w:val="0"/>
                <w:sz w:val="22"/>
                <w:szCs w:val="22"/>
                <w:highlight w:val="none"/>
                <w:lang w:val="en-US" w:eastAsia="zh-CN"/>
              </w:rPr>
              <w:t>7</w:t>
            </w:r>
            <w:r>
              <w:rPr>
                <w:rFonts w:hint="eastAsia" w:ascii="新宋体" w:hAnsi="新宋体" w:eastAsia="新宋体" w:cs="新宋体"/>
                <w:color w:val="auto"/>
                <w:kern w:val="0"/>
                <w:sz w:val="22"/>
                <w:szCs w:val="22"/>
                <w:highlight w:val="none"/>
              </w:rPr>
              <w:t>000元）整；必须在投标截止时间前以转账方式向政采云公司提交。</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户名：政采云有限公司</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账号：190001010400276210000004043</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开户行：中国农业银行杭州西湖支行</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15</w:t>
            </w:r>
          </w:p>
        </w:tc>
        <w:tc>
          <w:tcPr>
            <w:tcW w:w="946"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Cs w:val="21"/>
                <w:highlight w:val="none"/>
              </w:rPr>
              <w:t>投标文件装订及封装要求</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（1）资格审查资料一式5份，正本1份，副本4份；</w:t>
            </w:r>
          </w:p>
          <w:p>
            <w:pPr>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（2）技术资信标一式5份，正本1份，副本4份；</w:t>
            </w:r>
          </w:p>
          <w:p>
            <w:pPr>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（3）商务报价标一式5份，正本1份，副本4份。</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szCs w:val="21"/>
                <w:highlight w:val="none"/>
              </w:rPr>
              <w:t>（4）投标文件“资格审查资料”、“技术资信标”、“商务报价标”密封于各自包封袋中，并加盖密封印章，并在封套的封口处加盖投标人单位章，并由法定代表人或其授权代表签字。</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16</w:t>
            </w:r>
          </w:p>
        </w:tc>
        <w:tc>
          <w:tcPr>
            <w:tcW w:w="94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260" w:lineRule="exact"/>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szCs w:val="21"/>
                <w:highlight w:val="none"/>
              </w:rPr>
              <w:t>签字或盖章要求</w:t>
            </w:r>
          </w:p>
        </w:tc>
        <w:tc>
          <w:tcPr>
            <w:tcW w:w="369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260" w:lineRule="exact"/>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投标文件的相应位置应加盖：</w:t>
            </w:r>
          </w:p>
          <w:p>
            <w:pPr>
              <w:adjustRightInd w:val="0"/>
              <w:snapToGrid w:val="0"/>
              <w:spacing w:line="260" w:lineRule="exact"/>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（1）单位公章；</w:t>
            </w:r>
          </w:p>
          <w:p>
            <w:pPr>
              <w:adjustRightInd w:val="0"/>
              <w:snapToGrid w:val="0"/>
              <w:spacing w:line="260" w:lineRule="exact"/>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（2）法定代表人或其授权委托代理人签字或盖章（如为授权委托代理人签字或盖章的须提供法定代表人授权委托书）；</w:t>
            </w:r>
          </w:p>
          <w:p>
            <w:pPr>
              <w:adjustRightInd w:val="0"/>
              <w:snapToGrid w:val="0"/>
              <w:spacing w:line="26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szCs w:val="21"/>
                <w:highlight w:val="none"/>
              </w:rPr>
              <w:t>（3）投标人单位章不得以分公司章、投标专用章、合同专用章等其他形式印章代替，否则视为无效印章。</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17</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递交投标</w:t>
            </w:r>
          </w:p>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文件地点</w:t>
            </w:r>
          </w:p>
        </w:tc>
        <w:tc>
          <w:tcPr>
            <w:tcW w:w="3693" w:type="pct"/>
            <w:tcBorders>
              <w:top w:val="single" w:color="auto" w:sz="4" w:space="0"/>
              <w:left w:val="single" w:color="auto" w:sz="4" w:space="0"/>
              <w:bottom w:val="single" w:color="auto" w:sz="4" w:space="0"/>
              <w:right w:val="single" w:color="auto" w:sz="4" w:space="0"/>
            </w:tcBorders>
            <w:vAlign w:val="center"/>
          </w:tcPr>
          <w:p>
            <w:pP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温州市府东路宏国大厦（温州市城发集团15楼</w:t>
            </w:r>
            <w:r>
              <w:rPr>
                <w:rFonts w:hint="eastAsia" w:ascii="新宋体" w:hAnsi="新宋体" w:eastAsia="新宋体" w:cs="新宋体"/>
                <w:color w:val="auto"/>
                <w:kern w:val="0"/>
                <w:sz w:val="22"/>
                <w:szCs w:val="22"/>
                <w:highlight w:val="none"/>
                <w:lang w:val="en-US" w:eastAsia="zh-CN"/>
              </w:rPr>
              <w:t>1号</w:t>
            </w:r>
            <w:r>
              <w:rPr>
                <w:rFonts w:hint="eastAsia" w:ascii="新宋体" w:hAnsi="新宋体" w:eastAsia="新宋体" w:cs="新宋体"/>
                <w:color w:val="auto"/>
                <w:kern w:val="0"/>
                <w:sz w:val="22"/>
                <w:szCs w:val="22"/>
                <w:highlight w:val="none"/>
              </w:rPr>
              <w:t>会议室）</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18</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开标时间</w:t>
            </w:r>
          </w:p>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和地点</w:t>
            </w:r>
          </w:p>
        </w:tc>
        <w:tc>
          <w:tcPr>
            <w:tcW w:w="3693" w:type="pct"/>
            <w:tcBorders>
              <w:top w:val="single" w:color="auto" w:sz="4" w:space="0"/>
              <w:left w:val="single" w:color="auto" w:sz="4" w:space="0"/>
              <w:bottom w:val="single" w:color="auto" w:sz="4" w:space="0"/>
              <w:right w:val="single" w:color="auto" w:sz="4" w:space="0"/>
            </w:tcBorders>
            <w:vAlign w:val="center"/>
          </w:tcPr>
          <w:p>
            <w:pPr>
              <w:rPr>
                <w:rFonts w:hint="eastAsia"/>
                <w:color w:val="auto"/>
                <w:highlight w:val="none"/>
                <w:lang w:eastAsia="zh-CN"/>
              </w:rPr>
            </w:pPr>
            <w:r>
              <w:rPr>
                <w:rFonts w:hint="eastAsia"/>
                <w:color w:val="auto"/>
                <w:highlight w:val="none"/>
              </w:rPr>
              <w:t>开标时间：</w:t>
            </w:r>
            <w:r>
              <w:rPr>
                <w:rFonts w:hint="eastAsia"/>
                <w:color w:val="auto"/>
                <w:highlight w:val="none"/>
                <w:lang w:eastAsia="zh-CN"/>
              </w:rPr>
              <w:t>2023年08月09日14：30</w:t>
            </w:r>
          </w:p>
          <w:p>
            <w:pPr>
              <w:rPr>
                <w:rFonts w:hint="eastAsia"/>
                <w:color w:val="auto"/>
                <w:highlight w:val="none"/>
              </w:rPr>
            </w:pPr>
            <w:r>
              <w:rPr>
                <w:rFonts w:hint="eastAsia"/>
                <w:color w:val="auto"/>
                <w:highlight w:val="none"/>
              </w:rPr>
              <w:t>开标地点：温州市府东路宏国大厦（温州市城发集团15楼</w:t>
            </w:r>
            <w:r>
              <w:rPr>
                <w:rFonts w:hint="eastAsia"/>
                <w:color w:val="auto"/>
                <w:highlight w:val="none"/>
                <w:lang w:val="en-US" w:eastAsia="zh-CN"/>
              </w:rPr>
              <w:t>1号</w:t>
            </w:r>
            <w:r>
              <w:rPr>
                <w:rFonts w:hint="eastAsia"/>
                <w:color w:val="auto"/>
                <w:highlight w:val="none"/>
              </w:rPr>
              <w:t>会议室）</w:t>
            </w:r>
          </w:p>
          <w:p>
            <w:pPr>
              <w:pStyle w:val="2"/>
              <w:rPr>
                <w:rFonts w:hint="default" w:eastAsia="新宋体"/>
                <w:color w:val="auto"/>
                <w:highlight w:val="none"/>
                <w:lang w:val="en-US" w:eastAsia="zh-CN"/>
              </w:rPr>
            </w:pPr>
            <w:r>
              <w:rPr>
                <w:rFonts w:hint="eastAsia" w:ascii="新宋体" w:hAnsi="新宋体" w:eastAsia="新宋体" w:cs="新宋体"/>
                <w:color w:val="auto"/>
                <w:kern w:val="0"/>
                <w:sz w:val="22"/>
                <w:szCs w:val="22"/>
                <w:highlight w:val="none"/>
                <w:lang w:val="en-US" w:eastAsia="zh-CN"/>
              </w:rPr>
              <w:t>评标地点</w:t>
            </w:r>
            <w:r>
              <w:rPr>
                <w:rFonts w:hint="eastAsia"/>
                <w:color w:val="auto"/>
                <w:highlight w:val="none"/>
              </w:rPr>
              <w:t>：温州市府东路宏国大厦（温州市城发集团15楼</w:t>
            </w:r>
            <w:r>
              <w:rPr>
                <w:rFonts w:hint="eastAsia" w:eastAsia="宋体"/>
                <w:color w:val="auto"/>
                <w:highlight w:val="none"/>
                <w:lang w:val="en-US" w:eastAsia="zh-CN"/>
              </w:rPr>
              <w:t>3号</w:t>
            </w:r>
            <w:r>
              <w:rPr>
                <w:rFonts w:hint="eastAsia"/>
                <w:color w:val="auto"/>
                <w:highlight w:val="none"/>
              </w:rPr>
              <w:t>会议室）</w:t>
            </w:r>
          </w:p>
        </w:tc>
      </w:tr>
      <w:tr>
        <w:tblPrEx>
          <w:tblCellMar>
            <w:top w:w="0" w:type="dxa"/>
            <w:left w:w="108" w:type="dxa"/>
            <w:bottom w:w="0" w:type="dxa"/>
            <w:right w:w="108" w:type="dxa"/>
          </w:tblCellMar>
        </w:tblPrEx>
        <w:trPr>
          <w:trHeight w:val="416"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19</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开评标程序</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（1）宣布开标纪律；</w:t>
            </w:r>
          </w:p>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（2）公布在投标截止时间前递交投标文件的投标人名称，并点名确认投标人是否派授权代表到场；</w:t>
            </w:r>
          </w:p>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（3）宣布唱标人、记录人、监督人员等有关人员姓名；</w:t>
            </w:r>
          </w:p>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（4）密封情况检查：由监督人员或投标人推选的代表检查投标文件密封情况；</w:t>
            </w:r>
          </w:p>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（5）开标顺序：投标人送达投标文件的逆序；</w:t>
            </w:r>
            <w:r>
              <w:rPr>
                <w:rFonts w:hint="eastAsia"/>
                <w:color w:val="auto"/>
                <w:highlight w:val="none"/>
              </w:rPr>
              <w:t>在开标室里先开启技术资信标，再送达评审室评审。技术资信标评审结束后，再开启商务报价标；</w:t>
            </w:r>
          </w:p>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（6）确认开标结果：投标人授权代表对开标记录进行当场校核及勘误，并签字确认；并同时由记录人、监督人当场签字确认；</w:t>
            </w:r>
          </w:p>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（7）宣布开标结束；。</w:t>
            </w:r>
          </w:p>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（8）投标人授权代表未参加开标会议；未到场签字确认的，不影响开标，评标过程，视同认可开标结果；事后不得对采购相关人员、开标过程和开标结果提出异议；</w:t>
            </w:r>
          </w:p>
          <w:p>
            <w:pPr>
              <w:ind w:left="2"/>
              <w:rPr>
                <w:rFonts w:ascii="新宋体" w:hAnsi="新宋体" w:eastAsia="新宋体" w:cs="新宋体"/>
                <w:color w:val="auto"/>
                <w:kern w:val="0"/>
                <w:sz w:val="22"/>
                <w:szCs w:val="22"/>
                <w:highlight w:val="none"/>
              </w:rPr>
            </w:pPr>
            <w:r>
              <w:rPr>
                <w:rFonts w:hint="eastAsia" w:ascii="新宋体" w:hAnsi="新宋体" w:eastAsia="新宋体" w:cs="新宋体"/>
                <w:color w:val="auto"/>
                <w:sz w:val="22"/>
                <w:highlight w:val="none"/>
              </w:rPr>
              <w:t>（9）将开启的投标文件送交评标委员会评审。</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20</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评标委员会</w:t>
            </w:r>
          </w:p>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的组建</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bCs/>
                <w:color w:val="auto"/>
                <w:sz w:val="22"/>
                <w:szCs w:val="22"/>
                <w:highlight w:val="none"/>
              </w:rPr>
              <w:t>采购人按照相关规定组建评标委员会，评标委员会成员由采购人代表和有关技术、经济等方面的专家组成，成员人数为5人（含）以上单数。</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履约担保</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□不需要</w:t>
            </w:r>
          </w:p>
          <w:p>
            <w:pPr>
              <w:rPr>
                <w:rFonts w:ascii="新宋体" w:hAnsi="新宋体" w:eastAsia="新宋体" w:cs="新宋体"/>
                <w:color w:val="auto"/>
                <w:kern w:val="0"/>
                <w:sz w:val="22"/>
                <w:szCs w:val="22"/>
                <w:highlight w:val="none"/>
              </w:rPr>
            </w:pPr>
            <w:r>
              <w:rPr>
                <w:rFonts w:hint="eastAsia" w:ascii="新宋体" w:hAnsi="新宋体" w:eastAsia="新宋体" w:cs="新宋体"/>
                <w:snapToGrid w:val="0"/>
                <w:color w:val="auto"/>
                <w:sz w:val="22"/>
                <w:szCs w:val="22"/>
                <w:highlight w:val="none"/>
              </w:rPr>
              <w:sym w:font="Wingdings" w:char="F0FE"/>
            </w:r>
            <w:r>
              <w:rPr>
                <w:rFonts w:hint="eastAsia" w:ascii="新宋体" w:hAnsi="新宋体" w:eastAsia="新宋体" w:cs="新宋体"/>
                <w:color w:val="auto"/>
                <w:sz w:val="22"/>
                <w:highlight w:val="none"/>
              </w:rPr>
              <w:t xml:space="preserve">需要 </w:t>
            </w:r>
            <w:r>
              <w:rPr>
                <w:rFonts w:hint="eastAsia" w:ascii="宋体" w:hAnsi="宋体" w:cs="宋体"/>
                <w:color w:val="auto"/>
                <w:sz w:val="22"/>
                <w:szCs w:val="22"/>
                <w:highlight w:val="none"/>
              </w:rPr>
              <w:t>合同总价10%的履约保证金（接受保函等其他形式）</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新宋体" w:hAnsi="新宋体" w:eastAsia="新宋体" w:cs="新宋体"/>
                <w:color w:val="auto"/>
                <w:kern w:val="0"/>
                <w:sz w:val="22"/>
                <w:szCs w:val="22"/>
                <w:highlight w:val="none"/>
              </w:rPr>
            </w:pPr>
            <w:bookmarkStart w:id="9" w:name="_Toc222114875"/>
            <w:bookmarkStart w:id="10" w:name="_Toc221423615"/>
            <w:bookmarkStart w:id="11" w:name="_Toc221356947"/>
            <w:bookmarkStart w:id="12" w:name="_Toc221356882"/>
            <w:bookmarkStart w:id="13" w:name="_Toc221374622"/>
            <w:bookmarkStart w:id="14" w:name="_Toc241404198"/>
            <w:bookmarkStart w:id="15" w:name="_Toc223715994"/>
            <w:bookmarkStart w:id="16" w:name="_Toc265529379"/>
            <w:bookmarkStart w:id="17" w:name="_Toc239145350"/>
            <w:r>
              <w:rPr>
                <w:rFonts w:hint="eastAsia" w:ascii="新宋体" w:hAnsi="新宋体" w:eastAsia="新宋体" w:cs="新宋体"/>
                <w:color w:val="auto"/>
                <w:kern w:val="0"/>
                <w:sz w:val="22"/>
                <w:szCs w:val="22"/>
                <w:highlight w:val="none"/>
              </w:rPr>
              <w:t>22</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原件</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lang w:val="en-US" w:eastAsia="zh-CN"/>
              </w:rPr>
              <w:t>无需提交</w:t>
            </w:r>
          </w:p>
        </w:tc>
      </w:tr>
      <w:tr>
        <w:tblPrEx>
          <w:tblCellMar>
            <w:top w:w="0" w:type="dxa"/>
            <w:left w:w="108" w:type="dxa"/>
            <w:bottom w:w="0" w:type="dxa"/>
            <w:right w:w="108" w:type="dxa"/>
          </w:tblCellMar>
        </w:tblPrEx>
        <w:trPr>
          <w:trHeight w:val="492" w:hRule="atLeast"/>
        </w:trPr>
        <w:tc>
          <w:tcPr>
            <w:tcW w:w="359"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23</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合同备案</w:t>
            </w:r>
          </w:p>
        </w:tc>
        <w:tc>
          <w:tcPr>
            <w:tcW w:w="3693" w:type="pct"/>
            <w:tcBorders>
              <w:top w:val="single" w:color="auto" w:sz="4" w:space="0"/>
              <w:left w:val="single" w:color="auto" w:sz="4" w:space="0"/>
              <w:bottom w:val="single" w:color="auto" w:sz="4" w:space="0"/>
              <w:right w:val="single" w:color="auto" w:sz="4" w:space="0"/>
            </w:tcBorders>
            <w:vAlign w:val="center"/>
          </w:tcPr>
          <w:p>
            <w:pPr>
              <w:jc w:val="lef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（1）中标投标人须在收到中标通知书之日起30日历天内与采购人签订合同。</w:t>
            </w:r>
          </w:p>
          <w:p>
            <w:pPr>
              <w:jc w:val="left"/>
              <w:rPr>
                <w:rFonts w:ascii="新宋体" w:hAnsi="新宋体" w:eastAsia="新宋体" w:cs="新宋体"/>
                <w:snapToGrid w:val="0"/>
                <w:color w:val="auto"/>
                <w:sz w:val="22"/>
                <w:szCs w:val="22"/>
                <w:highlight w:val="none"/>
              </w:rPr>
            </w:pPr>
            <w:r>
              <w:rPr>
                <w:rFonts w:hint="eastAsia" w:ascii="新宋体" w:hAnsi="新宋体" w:eastAsia="新宋体" w:cs="新宋体"/>
                <w:color w:val="auto"/>
                <w:sz w:val="22"/>
                <w:szCs w:val="22"/>
                <w:highlight w:val="none"/>
              </w:rPr>
              <w:t>（2）中标投标人与采购人签订合同后，2日历天内将合同扫描件电子版发给采购代理机构：邮箱：</w:t>
            </w:r>
            <w:r>
              <w:rPr>
                <w:rFonts w:hint="eastAsia" w:ascii="新宋体" w:hAnsi="新宋体" w:eastAsia="新宋体" w:cs="新宋体"/>
                <w:b/>
                <w:color w:val="auto"/>
                <w:sz w:val="22"/>
                <w:szCs w:val="22"/>
                <w:highlight w:val="none"/>
                <w:u w:val="single"/>
              </w:rPr>
              <w:t>ye462978466@qq.com</w:t>
            </w:r>
            <w:r>
              <w:rPr>
                <w:rFonts w:hint="eastAsia" w:ascii="新宋体" w:hAnsi="新宋体" w:eastAsia="新宋体" w:cs="新宋体"/>
                <w:color w:val="auto"/>
                <w:sz w:val="22"/>
                <w:szCs w:val="22"/>
                <w:highlight w:val="none"/>
              </w:rPr>
              <w:t>。</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24</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合同履约管理</w:t>
            </w:r>
          </w:p>
        </w:tc>
        <w:tc>
          <w:tcPr>
            <w:tcW w:w="3693" w:type="pct"/>
            <w:tcBorders>
              <w:top w:val="single" w:color="auto" w:sz="4" w:space="0"/>
              <w:left w:val="single" w:color="auto" w:sz="4" w:space="0"/>
              <w:bottom w:val="single" w:color="auto" w:sz="4" w:space="0"/>
              <w:right w:val="single" w:color="auto" w:sz="4" w:space="0"/>
            </w:tcBorders>
            <w:vAlign w:val="center"/>
          </w:tcPr>
          <w:p>
            <w:pPr>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合同签订后，采购人依法加强对合同履约进行管理，并在中标单位服务、项目验收等重要关节，如实填写《合同验收报告》（或考核资料），并及时向集团公司采购管理部门报告验收过程中遇到的问题。</w:t>
            </w:r>
          </w:p>
        </w:tc>
      </w:tr>
      <w:tr>
        <w:tblPrEx>
          <w:tblCellMar>
            <w:top w:w="0" w:type="dxa"/>
            <w:left w:w="108" w:type="dxa"/>
            <w:bottom w:w="0" w:type="dxa"/>
            <w:right w:w="108" w:type="dxa"/>
          </w:tblCellMar>
        </w:tblPrEx>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解释权</w:t>
            </w:r>
          </w:p>
        </w:tc>
        <w:tc>
          <w:tcPr>
            <w:tcW w:w="3693" w:type="pct"/>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构成本采购文件的各个组成文件应互为解释，互为说明；如有不明确或不一致，构成合同文件组成内容的，以合同文件约定内容为准，且以专用合同条款约定的合同文件优先顺序解释；仅适用于招标投标阶段的约定，按采购公告、投标人须知、评标办法、投标文件格式的先后顺序解释；同一文件中就同一事项的约定不一致的，以逻辑顺序在后者为准；同一文件不同版本之间有不一致的，以形成时间在后者为准。按本款前述约定仍不能形成结论的，由采购人负责解释。</w:t>
            </w:r>
          </w:p>
        </w:tc>
      </w:tr>
      <w:tr>
        <w:trPr>
          <w:trHeight w:val="850" w:hRule="atLeast"/>
        </w:trPr>
        <w:tc>
          <w:tcPr>
            <w:tcW w:w="359"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26</w:t>
            </w:r>
          </w:p>
        </w:tc>
        <w:tc>
          <w:tcPr>
            <w:tcW w:w="946" w:type="pct"/>
            <w:tcBorders>
              <w:top w:val="single" w:color="auto" w:sz="4" w:space="0"/>
              <w:left w:val="single" w:color="auto" w:sz="4" w:space="0"/>
              <w:bottom w:val="single" w:color="auto" w:sz="4" w:space="0"/>
              <w:right w:val="single" w:color="auto" w:sz="4" w:space="0"/>
            </w:tcBorders>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质疑与投诉</w:t>
            </w:r>
          </w:p>
        </w:tc>
        <w:tc>
          <w:tcPr>
            <w:tcW w:w="3693" w:type="pct"/>
            <w:tcBorders>
              <w:top w:val="single" w:color="auto" w:sz="4" w:space="0"/>
              <w:left w:val="single" w:color="auto" w:sz="4" w:space="0"/>
              <w:bottom w:val="single" w:color="auto" w:sz="4" w:space="0"/>
              <w:right w:val="single" w:color="auto" w:sz="4" w:space="0"/>
            </w:tcBorders>
            <w:vAlign w:val="center"/>
          </w:tcPr>
          <w:p>
            <w:pPr>
              <w:jc w:val="lef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1.投标人认为采购文件、采购过程、中标和成交结果使自己的合法权益受到损害的，可以在知道或应知道其权益受到损害之日起七个工作日内以书面形式向采购人或采购代理机构提出质疑。</w:t>
            </w:r>
          </w:p>
          <w:p>
            <w:pP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采购人或采购代理机构在收到投标人的书面质疑后七个工作日内作出答复，但答复的内容不得涉及商业秘密。质疑投标人对采购人或采购代理机构的答复不满意，可以在答复期满后十五个工作日内向温州市城市建设发展集团有限公司招投标管理委员会投诉。</w:t>
            </w:r>
          </w:p>
        </w:tc>
      </w:tr>
    </w:tbl>
    <w:p>
      <w:pPr>
        <w:pStyle w:val="3"/>
        <w:rPr>
          <w:rFonts w:ascii="新宋体" w:hAnsi="新宋体" w:eastAsia="新宋体" w:cs="新宋体"/>
          <w:color w:val="auto"/>
          <w:sz w:val="36"/>
          <w:szCs w:val="36"/>
          <w:highlight w:val="none"/>
        </w:rPr>
      </w:pPr>
      <w:r>
        <w:rPr>
          <w:rFonts w:hint="eastAsia" w:ascii="新宋体" w:hAnsi="新宋体" w:eastAsia="新宋体" w:cs="新宋体"/>
          <w:color w:val="auto"/>
          <w:sz w:val="36"/>
          <w:szCs w:val="36"/>
          <w:highlight w:val="none"/>
        </w:rPr>
        <w:t xml:space="preserve"> </w:t>
      </w:r>
      <w:r>
        <w:rPr>
          <w:rFonts w:hint="eastAsia" w:ascii="新宋体" w:hAnsi="新宋体" w:eastAsia="新宋体" w:cs="新宋体"/>
          <w:color w:val="auto"/>
          <w:sz w:val="36"/>
          <w:szCs w:val="36"/>
          <w:highlight w:val="none"/>
        </w:rPr>
        <w:br w:type="page"/>
      </w:r>
      <w:bookmarkStart w:id="18" w:name="_Toc20590"/>
      <w:bookmarkStart w:id="19" w:name="_Toc71374671"/>
      <w:bookmarkStart w:id="20" w:name="_Toc71374670"/>
      <w:r>
        <w:rPr>
          <w:rFonts w:hint="eastAsia" w:ascii="新宋体" w:hAnsi="新宋体" w:eastAsia="新宋体" w:cs="新宋体"/>
          <w:color w:val="auto"/>
          <w:sz w:val="36"/>
          <w:szCs w:val="36"/>
          <w:highlight w:val="none"/>
        </w:rPr>
        <w:t>第一部分    投标人须知</w:t>
      </w:r>
      <w:bookmarkEnd w:id="9"/>
      <w:bookmarkEnd w:id="10"/>
      <w:bookmarkEnd w:id="11"/>
      <w:bookmarkEnd w:id="12"/>
      <w:bookmarkEnd w:id="13"/>
      <w:bookmarkEnd w:id="14"/>
      <w:bookmarkEnd w:id="15"/>
      <w:bookmarkEnd w:id="16"/>
      <w:bookmarkEnd w:id="17"/>
      <w:bookmarkEnd w:id="18"/>
      <w:bookmarkEnd w:id="19"/>
      <w:bookmarkEnd w:id="20"/>
    </w:p>
    <w:p>
      <w:pPr>
        <w:spacing w:before="100" w:beforeAutospacing="1" w:after="100" w:afterAutospacing="1" w:line="440" w:lineRule="exact"/>
        <w:jc w:val="center"/>
        <w:outlineLvl w:val="0"/>
        <w:rPr>
          <w:rFonts w:ascii="新宋体" w:hAnsi="新宋体" w:eastAsia="新宋体" w:cs="新宋体"/>
          <w:b/>
          <w:bCs/>
          <w:color w:val="auto"/>
          <w:sz w:val="26"/>
          <w:szCs w:val="26"/>
          <w:highlight w:val="none"/>
        </w:rPr>
      </w:pPr>
      <w:bookmarkStart w:id="21" w:name="_Toc24612"/>
      <w:bookmarkStart w:id="22" w:name="_Toc221374623"/>
      <w:bookmarkStart w:id="23" w:name="_Toc221356948"/>
      <w:bookmarkStart w:id="24" w:name="_Toc222114876"/>
      <w:bookmarkStart w:id="25" w:name="_Toc221356883"/>
      <w:bookmarkStart w:id="26" w:name="_Toc265529380"/>
      <w:bookmarkStart w:id="27" w:name="_Toc239145351"/>
      <w:bookmarkStart w:id="28" w:name="_Toc223715995"/>
      <w:bookmarkStart w:id="29" w:name="_Toc221423616"/>
      <w:bookmarkStart w:id="30" w:name="_Toc71374672"/>
      <w:bookmarkStart w:id="31" w:name="_Toc241404199"/>
      <w:r>
        <w:rPr>
          <w:rFonts w:hint="eastAsia" w:ascii="新宋体" w:hAnsi="新宋体" w:eastAsia="新宋体" w:cs="新宋体"/>
          <w:b/>
          <w:bCs/>
          <w:color w:val="auto"/>
          <w:sz w:val="26"/>
          <w:szCs w:val="26"/>
          <w:highlight w:val="none"/>
        </w:rPr>
        <w:t>一、  说明</w:t>
      </w:r>
      <w:bookmarkEnd w:id="21"/>
      <w:bookmarkEnd w:id="22"/>
      <w:bookmarkEnd w:id="23"/>
      <w:bookmarkEnd w:id="24"/>
      <w:bookmarkEnd w:id="25"/>
      <w:bookmarkEnd w:id="26"/>
      <w:bookmarkEnd w:id="27"/>
      <w:bookmarkEnd w:id="28"/>
      <w:bookmarkEnd w:id="29"/>
      <w:bookmarkEnd w:id="30"/>
      <w:bookmarkEnd w:id="31"/>
    </w:p>
    <w:p>
      <w:pPr>
        <w:tabs>
          <w:tab w:val="left" w:pos="540"/>
          <w:tab w:val="left" w:pos="900"/>
        </w:tabs>
        <w:spacing w:line="460" w:lineRule="exact"/>
        <w:rPr>
          <w:rFonts w:ascii="新宋体" w:hAnsi="新宋体" w:eastAsia="新宋体" w:cs="新宋体"/>
          <w:color w:val="auto"/>
          <w:sz w:val="22"/>
          <w:szCs w:val="22"/>
          <w:highlight w:val="none"/>
        </w:rPr>
      </w:pPr>
      <w:bookmarkStart w:id="32" w:name="_Toc222114877"/>
      <w:bookmarkStart w:id="33" w:name="_Toc239145352"/>
      <w:bookmarkStart w:id="34" w:name="_Toc223715996"/>
      <w:bookmarkStart w:id="35" w:name="_Toc221356949"/>
      <w:bookmarkStart w:id="36" w:name="_Toc221356884"/>
      <w:bookmarkStart w:id="37" w:name="_Toc20896"/>
      <w:bookmarkStart w:id="38" w:name="_Toc71374673"/>
      <w:bookmarkStart w:id="39" w:name="_Toc221423617"/>
      <w:bookmarkStart w:id="40" w:name="_Toc241404200"/>
      <w:bookmarkStart w:id="41" w:name="_Toc265529381"/>
      <w:bookmarkStart w:id="42" w:name="_Toc221374624"/>
      <w:r>
        <w:rPr>
          <w:rFonts w:hint="eastAsia" w:ascii="新宋体" w:hAnsi="新宋体" w:eastAsia="新宋体" w:cs="新宋体"/>
          <w:color w:val="auto"/>
          <w:sz w:val="22"/>
          <w:szCs w:val="22"/>
          <w:highlight w:val="none"/>
        </w:rPr>
        <w:t>1.本次采购是</w:t>
      </w:r>
      <w:r>
        <w:rPr>
          <w:rFonts w:hint="eastAsia" w:ascii="新宋体" w:hAnsi="新宋体" w:eastAsia="新宋体" w:cs="新宋体"/>
          <w:color w:val="auto"/>
          <w:kern w:val="0"/>
          <w:sz w:val="22"/>
          <w:szCs w:val="22"/>
          <w:highlight w:val="none"/>
        </w:rPr>
        <w:t>根据《温州市市属国有企业采购管理办法（试行）》等有关规定</w:t>
      </w:r>
      <w:r>
        <w:rPr>
          <w:rFonts w:hint="eastAsia" w:ascii="新宋体" w:hAnsi="新宋体" w:eastAsia="新宋体" w:cs="新宋体"/>
          <w:color w:val="auto"/>
          <w:sz w:val="22"/>
          <w:szCs w:val="22"/>
          <w:highlight w:val="none"/>
        </w:rPr>
        <w:t>及有关法规组织和实施的。</w:t>
      </w:r>
    </w:p>
    <w:p>
      <w:pPr>
        <w:tabs>
          <w:tab w:val="left" w:pos="540"/>
          <w:tab w:val="left" w:pos="90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2.合格投标人：投标人合格条件见本项目采购公告。</w:t>
      </w:r>
    </w:p>
    <w:p>
      <w:pPr>
        <w:tabs>
          <w:tab w:val="left" w:pos="540"/>
          <w:tab w:val="left" w:pos="90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3.投标人代表：指全权代表投标人参加投标活动并签署投标文件的人。如果投标人代表不是法定代表人，须持有《法定代表人授权书》。</w:t>
      </w:r>
    </w:p>
    <w:p>
      <w:pPr>
        <w:tabs>
          <w:tab w:val="left" w:pos="540"/>
          <w:tab w:val="left" w:pos="90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4.投标费用：投标人应承担所有与准备和参加投标有关费用，不论投标的结果如何，采购人和采购代理机构均无义务和责任承担这些费用。</w:t>
      </w:r>
    </w:p>
    <w:p>
      <w:pPr>
        <w:spacing w:before="100" w:beforeAutospacing="1" w:after="100" w:afterAutospacing="1" w:line="440" w:lineRule="exact"/>
        <w:jc w:val="center"/>
        <w:outlineLvl w:val="0"/>
        <w:rPr>
          <w:rFonts w:ascii="新宋体" w:hAnsi="新宋体" w:eastAsia="新宋体" w:cs="新宋体"/>
          <w:b/>
          <w:bCs/>
          <w:color w:val="auto"/>
          <w:sz w:val="26"/>
          <w:szCs w:val="26"/>
          <w:highlight w:val="none"/>
        </w:rPr>
      </w:pPr>
      <w:r>
        <w:rPr>
          <w:rFonts w:hint="eastAsia" w:ascii="新宋体" w:hAnsi="新宋体" w:eastAsia="新宋体" w:cs="新宋体"/>
          <w:b/>
          <w:bCs/>
          <w:color w:val="auto"/>
          <w:sz w:val="26"/>
          <w:szCs w:val="26"/>
          <w:highlight w:val="none"/>
        </w:rPr>
        <w:t>二、 采购文件</w:t>
      </w:r>
      <w:bookmarkEnd w:id="32"/>
      <w:bookmarkEnd w:id="33"/>
      <w:bookmarkEnd w:id="34"/>
      <w:bookmarkEnd w:id="35"/>
      <w:bookmarkEnd w:id="36"/>
      <w:bookmarkEnd w:id="37"/>
      <w:bookmarkEnd w:id="38"/>
      <w:bookmarkEnd w:id="39"/>
      <w:bookmarkEnd w:id="40"/>
      <w:bookmarkEnd w:id="41"/>
      <w:bookmarkEnd w:id="42"/>
    </w:p>
    <w:p>
      <w:pPr>
        <w:tabs>
          <w:tab w:val="left" w:pos="540"/>
        </w:tabs>
        <w:spacing w:line="460" w:lineRule="exact"/>
        <w:rPr>
          <w:rFonts w:ascii="新宋体" w:hAnsi="新宋体" w:eastAsia="新宋体" w:cs="新宋体"/>
          <w:color w:val="auto"/>
          <w:sz w:val="22"/>
          <w:szCs w:val="22"/>
          <w:highlight w:val="none"/>
        </w:rPr>
      </w:pPr>
      <w:bookmarkStart w:id="43" w:name="_Toc223715997"/>
      <w:bookmarkStart w:id="44" w:name="_Toc10305"/>
      <w:bookmarkStart w:id="45" w:name="_Toc221356950"/>
      <w:bookmarkStart w:id="46" w:name="_Toc221423618"/>
      <w:bookmarkStart w:id="47" w:name="_Toc265529382"/>
      <w:bookmarkStart w:id="48" w:name="_Toc222114878"/>
      <w:bookmarkStart w:id="49" w:name="_Toc239145353"/>
      <w:bookmarkStart w:id="50" w:name="_Toc71374674"/>
      <w:bookmarkStart w:id="51" w:name="_Toc221356885"/>
      <w:bookmarkStart w:id="52" w:name="_Toc221374625"/>
      <w:bookmarkStart w:id="53" w:name="_Toc241404201"/>
      <w:r>
        <w:rPr>
          <w:rFonts w:hint="eastAsia" w:ascii="新宋体" w:hAnsi="新宋体" w:eastAsia="新宋体" w:cs="新宋体"/>
          <w:color w:val="auto"/>
          <w:sz w:val="22"/>
          <w:szCs w:val="22"/>
          <w:highlight w:val="none"/>
        </w:rPr>
        <w:t>5.采购文件由采购文件目录所列内容及相关资料组成。</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6.投标人对采购文件如有疑点或未尽事宜要求澄清，或认为有必要进行说明或交流，可以在知道或应知其权益受到损害之日起七个工作日内，以书面形式（包括信函、传真、下同）向采购人及代理机构提出质疑，</w:t>
      </w:r>
      <w:r>
        <w:rPr>
          <w:rFonts w:hint="eastAsia" w:ascii="宋体" w:hAnsi="宋体" w:cs="宋体"/>
          <w:color w:val="auto"/>
          <w:szCs w:val="21"/>
          <w:highlight w:val="none"/>
        </w:rPr>
        <w:t>但质疑不得迟于采购文件规定的询疑截止时间前使采购人收到，采购人和采购代理机构将用书面形式予以答复。</w:t>
      </w:r>
      <w:r>
        <w:rPr>
          <w:rFonts w:hint="eastAsia" w:ascii="新宋体" w:hAnsi="新宋体" w:eastAsia="新宋体" w:cs="新宋体"/>
          <w:color w:val="auto"/>
          <w:sz w:val="22"/>
          <w:szCs w:val="22"/>
          <w:highlight w:val="none"/>
        </w:rPr>
        <w:t>如有必要，可将不说明问题来源的答复发给各有关投标人或召开答疑会。如果标书答疑期内未收到有关疑问，视为投标人完全同意采购文件所有条款，且对于采购文件相关表述以及未尽事宜如有争议，以采购人解释为准。</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7.采购文件的修改</w:t>
      </w:r>
    </w:p>
    <w:p>
      <w:pPr>
        <w:tabs>
          <w:tab w:val="left" w:pos="360"/>
          <w:tab w:val="left" w:pos="747"/>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7.1 在投标截止期十五天前，采购人无论是出于何种原因，均可对采购文件用补充文件的方式进行修改，并在政采云平台、温州市国有企业采购平台以及集团网站发布更正公告。该澄清和修改的内容为采购文件的组成部分。采购人可以视采购具体情况在采购文件要求提交截止时间前，作出延长投标文件递交截止时间和开标时间的决定，并将变更时间书面通知所有采购文件收受人，并在政采云平台、温州市国有企业采购平台以及集团网站上发布变更公告。</w:t>
      </w:r>
    </w:p>
    <w:p>
      <w:pPr>
        <w:tabs>
          <w:tab w:val="left" w:pos="360"/>
          <w:tab w:val="left" w:pos="747"/>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7.2 采购文件如有补充更正均见政采云平台、温州市国有企业采购平台以及集团网站。投标人须在开标前一日自行查看是否有补充更正文件，并按补充更正文件要求投标响应，否则责任自负</w:t>
      </w:r>
      <w:r>
        <w:rPr>
          <w:rFonts w:hint="eastAsia" w:ascii="新宋体" w:hAnsi="新宋体" w:eastAsia="新宋体" w:cs="新宋体"/>
          <w:bCs/>
          <w:color w:val="auto"/>
          <w:sz w:val="22"/>
          <w:szCs w:val="22"/>
          <w:highlight w:val="none"/>
        </w:rPr>
        <w:t>。</w:t>
      </w:r>
    </w:p>
    <w:p>
      <w:pPr>
        <w:spacing w:before="100" w:beforeAutospacing="1" w:after="100" w:afterAutospacing="1" w:line="440" w:lineRule="exact"/>
        <w:jc w:val="center"/>
        <w:outlineLvl w:val="0"/>
        <w:rPr>
          <w:rFonts w:ascii="新宋体" w:hAnsi="新宋体" w:eastAsia="新宋体" w:cs="新宋体"/>
          <w:b/>
          <w:bCs/>
          <w:color w:val="auto"/>
          <w:sz w:val="26"/>
          <w:szCs w:val="26"/>
          <w:highlight w:val="none"/>
        </w:rPr>
      </w:pPr>
      <w:r>
        <w:rPr>
          <w:rFonts w:hint="eastAsia" w:ascii="新宋体" w:hAnsi="新宋体" w:eastAsia="新宋体" w:cs="新宋体"/>
          <w:b/>
          <w:bCs/>
          <w:color w:val="auto"/>
          <w:sz w:val="26"/>
          <w:szCs w:val="26"/>
          <w:highlight w:val="none"/>
        </w:rPr>
        <w:t>三、 投标文件的编制</w:t>
      </w:r>
      <w:bookmarkEnd w:id="43"/>
      <w:bookmarkEnd w:id="44"/>
      <w:bookmarkEnd w:id="45"/>
      <w:bookmarkEnd w:id="46"/>
      <w:bookmarkEnd w:id="47"/>
      <w:bookmarkEnd w:id="48"/>
      <w:bookmarkEnd w:id="49"/>
      <w:bookmarkEnd w:id="50"/>
      <w:bookmarkEnd w:id="51"/>
      <w:bookmarkEnd w:id="52"/>
      <w:bookmarkEnd w:id="53"/>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8.投标人应认真阅读采购文件中所有事项格式、条款和技术规范等。</w:t>
      </w:r>
      <w:r>
        <w:rPr>
          <w:rFonts w:hint="eastAsia" w:ascii="新宋体" w:hAnsi="新宋体" w:eastAsia="新宋体" w:cs="新宋体"/>
          <w:b/>
          <w:color w:val="auto"/>
          <w:sz w:val="22"/>
          <w:szCs w:val="22"/>
          <w:highlight w:val="none"/>
        </w:rPr>
        <w:t>投标人没有按照采购文件要求提交全部资料，或者没有对采购文件各个方面做出实质性响应，导致投标被拒绝的风险由投标人自行承担。</w:t>
      </w:r>
    </w:p>
    <w:p>
      <w:pPr>
        <w:tabs>
          <w:tab w:val="left" w:pos="540"/>
        </w:tabs>
        <w:spacing w:line="46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9.投标人法律责任</w:t>
      </w:r>
    </w:p>
    <w:p>
      <w:pPr>
        <w:tabs>
          <w:tab w:val="left" w:pos="540"/>
        </w:tabs>
        <w:spacing w:line="460" w:lineRule="exact"/>
        <w:ind w:firstLine="442" w:firstLineChars="200"/>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投标人应保证所提供文件资料的真实性，所有文件资料必须是针对本次投标的。如发现投标人提供了虚假文件资料，其投标将被拒绝，并自行承担相应的法律责任。</w:t>
      </w:r>
    </w:p>
    <w:p>
      <w:pPr>
        <w:tabs>
          <w:tab w:val="left" w:pos="540"/>
        </w:tabs>
        <w:spacing w:line="46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10.投标文件的构成：</w:t>
      </w:r>
    </w:p>
    <w:p>
      <w:pPr>
        <w:tabs>
          <w:tab w:val="left" w:pos="540"/>
        </w:tabs>
        <w:spacing w:line="46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10.1投标文件由资格审查资料、技术资信标、商务报价标三部分构成：</w:t>
      </w:r>
    </w:p>
    <w:p>
      <w:pPr>
        <w:spacing w:line="430" w:lineRule="exact"/>
        <w:ind w:left="187" w:leftChars="85" w:hanging="9" w:hangingChars="4"/>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（1）资格审查资料</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9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pPr>
              <w:overflowPunct w:val="0"/>
              <w:spacing w:line="430" w:lineRule="exact"/>
              <w:jc w:val="center"/>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9115" w:type="dxa"/>
            <w:tcBorders>
              <w:top w:val="single" w:color="auto" w:sz="4" w:space="0"/>
              <w:left w:val="single" w:color="auto" w:sz="4" w:space="0"/>
              <w:bottom w:val="single" w:color="auto" w:sz="4" w:space="0"/>
              <w:right w:val="single" w:color="auto" w:sz="4" w:space="0"/>
            </w:tcBorders>
            <w:vAlign w:val="center"/>
          </w:tcPr>
          <w:p>
            <w:pPr>
              <w:overflowPunct w:val="0"/>
              <w:spacing w:line="430" w:lineRule="exact"/>
              <w:jc w:val="center"/>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pPr>
              <w:overflowPunct w:val="0"/>
              <w:spacing w:line="430" w:lineRule="exact"/>
              <w:jc w:val="cente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w:t>
            </w:r>
          </w:p>
        </w:tc>
        <w:tc>
          <w:tcPr>
            <w:tcW w:w="9115" w:type="dxa"/>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法定代表人授权书和授权代表人有效身份证明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pPr>
              <w:overflowPunct w:val="0"/>
              <w:spacing w:line="430" w:lineRule="exact"/>
              <w:jc w:val="cente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2</w:t>
            </w:r>
          </w:p>
        </w:tc>
        <w:tc>
          <w:tcPr>
            <w:tcW w:w="9115" w:type="dxa"/>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营业执照(或事业法人登记证书或其它工商等登记证明材料)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pPr>
              <w:overflowPunct w:val="0"/>
              <w:spacing w:line="430" w:lineRule="exact"/>
              <w:jc w:val="cente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3</w:t>
            </w:r>
          </w:p>
        </w:tc>
        <w:tc>
          <w:tcPr>
            <w:tcW w:w="9115" w:type="dxa"/>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bCs/>
                <w:color w:val="auto"/>
                <w:sz w:val="22"/>
                <w:szCs w:val="22"/>
                <w:highlight w:val="none"/>
              </w:rPr>
            </w:pPr>
            <w:r>
              <w:rPr>
                <w:rFonts w:hint="eastAsia" w:ascii="宋体" w:hAnsi="宋体" w:cs="宋体"/>
                <w:color w:val="auto"/>
                <w:kern w:val="0"/>
                <w:sz w:val="22"/>
                <w:szCs w:val="22"/>
                <w:highlight w:val="none"/>
              </w:rPr>
              <w:t>资格条件承诺函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pPr>
              <w:overflowPunct w:val="0"/>
              <w:spacing w:line="430" w:lineRule="exact"/>
              <w:jc w:val="cente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4</w:t>
            </w:r>
          </w:p>
        </w:tc>
        <w:tc>
          <w:tcPr>
            <w:tcW w:w="9115" w:type="dxa"/>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bCs/>
                <w:color w:val="auto"/>
                <w:sz w:val="22"/>
                <w:szCs w:val="22"/>
                <w:highlight w:val="none"/>
              </w:rPr>
            </w:pPr>
            <w:r>
              <w:rPr>
                <w:rFonts w:hint="eastAsia" w:ascii="宋体" w:hAnsi="宋体" w:cs="宋体"/>
                <w:bCs/>
                <w:color w:val="auto"/>
                <w:sz w:val="22"/>
                <w:szCs w:val="22"/>
                <w:highlight w:val="none"/>
              </w:rPr>
              <w:t>申请材料真实性声明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pPr>
              <w:overflowPunct w:val="0"/>
              <w:spacing w:line="430" w:lineRule="exact"/>
              <w:jc w:val="cente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5</w:t>
            </w:r>
          </w:p>
        </w:tc>
        <w:tc>
          <w:tcPr>
            <w:tcW w:w="9115" w:type="dxa"/>
            <w:tcBorders>
              <w:top w:val="single" w:color="auto" w:sz="4" w:space="0"/>
              <w:left w:val="single" w:color="auto" w:sz="4" w:space="0"/>
              <w:bottom w:val="single" w:color="auto" w:sz="4" w:space="0"/>
              <w:right w:val="single" w:color="auto" w:sz="4" w:space="0"/>
            </w:tcBorders>
            <w:vAlign w:val="center"/>
          </w:tcPr>
          <w:p>
            <w:pP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投标保证金缴纳凭证,最终以实际到帐为准（加盖公章）</w:t>
            </w:r>
          </w:p>
        </w:tc>
      </w:tr>
    </w:tbl>
    <w:p>
      <w:pPr>
        <w:spacing w:line="430" w:lineRule="exact"/>
        <w:ind w:left="187" w:leftChars="85" w:hanging="9" w:hangingChars="4"/>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备注：</w:t>
      </w:r>
    </w:p>
    <w:p>
      <w:pPr>
        <w:spacing w:line="430" w:lineRule="exact"/>
        <w:ind w:left="4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以上所需的各种证书、证件、证明、执照若系复印件，须在复印件上加盖投标人有效的公章。</w:t>
      </w:r>
    </w:p>
    <w:p>
      <w:pPr>
        <w:numPr>
          <w:ilvl w:val="0"/>
          <w:numId w:val="1"/>
        </w:numPr>
        <w:spacing w:line="430" w:lineRule="exact"/>
        <w:ind w:left="187" w:leftChars="85" w:hanging="9" w:hangingChars="4"/>
        <w:rPr>
          <w:rFonts w:ascii="新宋体" w:hAnsi="新宋体" w:eastAsia="新宋体" w:cs="新宋体"/>
          <w:color w:val="auto"/>
          <w:highlight w:val="none"/>
        </w:rPr>
      </w:pPr>
      <w:r>
        <w:rPr>
          <w:rFonts w:hint="eastAsia" w:ascii="新宋体" w:hAnsi="新宋体" w:eastAsia="新宋体" w:cs="新宋体"/>
          <w:b/>
          <w:color w:val="auto"/>
          <w:sz w:val="22"/>
          <w:szCs w:val="22"/>
          <w:highlight w:val="none"/>
        </w:rPr>
        <w:t>技术资信标</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9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3" w:type="dxa"/>
            <w:vAlign w:val="center"/>
          </w:tcPr>
          <w:p>
            <w:pPr>
              <w:jc w:val="center"/>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9091" w:type="dxa"/>
            <w:vAlign w:val="center"/>
          </w:tcPr>
          <w:p>
            <w:pPr>
              <w:jc w:val="center"/>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3"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9091" w:type="dxa"/>
            <w:vAlign w:val="center"/>
          </w:tcPr>
          <w:p>
            <w:pPr>
              <w:rPr>
                <w:rFonts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投标函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3"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9091" w:type="dxa"/>
            <w:vAlign w:val="center"/>
          </w:tcPr>
          <w:p>
            <w:pPr>
              <w:rPr>
                <w:rFonts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技术规格、商务条款偏离表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3"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w:t>
            </w:r>
          </w:p>
        </w:tc>
        <w:tc>
          <w:tcPr>
            <w:tcW w:w="9091" w:type="dxa"/>
            <w:vAlign w:val="center"/>
          </w:tcPr>
          <w:p>
            <w:pP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设备供货范围详细清单、随机附件及备品备件、专用工具一览表、供业主选购的设备及备品备件一览表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63"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w:t>
            </w:r>
          </w:p>
        </w:tc>
        <w:tc>
          <w:tcPr>
            <w:tcW w:w="9091" w:type="dxa"/>
            <w:vAlign w:val="center"/>
          </w:tcPr>
          <w:p>
            <w:pP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设备的主要技术、结构、性能、特点和质量水平的详细描述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3"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w:t>
            </w:r>
          </w:p>
        </w:tc>
        <w:tc>
          <w:tcPr>
            <w:tcW w:w="9091" w:type="dxa"/>
            <w:vAlign w:val="center"/>
          </w:tcPr>
          <w:p>
            <w:pP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设备的安装实施方案、验收标准和验收方法的详细介绍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3"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w:t>
            </w:r>
          </w:p>
        </w:tc>
        <w:tc>
          <w:tcPr>
            <w:tcW w:w="9091" w:type="dxa"/>
            <w:vAlign w:val="center"/>
          </w:tcPr>
          <w:p>
            <w:pP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设备的质量控制、质量保证的详细介绍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3"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w:t>
            </w:r>
          </w:p>
        </w:tc>
        <w:tc>
          <w:tcPr>
            <w:tcW w:w="9091" w:type="dxa"/>
            <w:vAlign w:val="center"/>
          </w:tcPr>
          <w:p>
            <w:pP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售后服务详细的计划方案说明与承诺、产品的质量保证期，故障响应修复时间方式及保障措施，质保期外服务收费内容、产品配件价格清单及保证措施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3" w:type="dxa"/>
            <w:vAlign w:val="center"/>
          </w:tcPr>
          <w:p>
            <w:pPr>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8</w:t>
            </w:r>
          </w:p>
        </w:tc>
        <w:tc>
          <w:tcPr>
            <w:tcW w:w="9091" w:type="dxa"/>
            <w:vAlign w:val="center"/>
          </w:tcPr>
          <w:p>
            <w:pP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项目实施周期及其保证措施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3" w:type="dxa"/>
            <w:vAlign w:val="center"/>
          </w:tcPr>
          <w:p>
            <w:pPr>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9</w:t>
            </w:r>
          </w:p>
        </w:tc>
        <w:tc>
          <w:tcPr>
            <w:tcW w:w="9091" w:type="dxa"/>
            <w:vAlign w:val="center"/>
          </w:tcPr>
          <w:p>
            <w:pP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w:t>
            </w:r>
            <w:r>
              <w:rPr>
                <w:rFonts w:hint="eastAsia" w:ascii="新宋体" w:hAnsi="新宋体" w:eastAsia="新宋体" w:cs="新宋体"/>
                <w:color w:val="auto"/>
                <w:sz w:val="22"/>
                <w:szCs w:val="22"/>
                <w:highlight w:val="none"/>
                <w:lang w:eastAsia="zh-CN"/>
              </w:rPr>
              <w:t>202</w:t>
            </w: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lang w:eastAsia="zh-CN"/>
              </w:rPr>
              <w:t>年至今</w:t>
            </w:r>
            <w:r>
              <w:rPr>
                <w:rFonts w:hint="eastAsia" w:ascii="新宋体" w:hAnsi="新宋体" w:eastAsia="新宋体" w:cs="新宋体"/>
                <w:color w:val="auto"/>
                <w:sz w:val="22"/>
                <w:szCs w:val="22"/>
                <w:highlight w:val="none"/>
              </w:rPr>
              <w:t>同类产品销售业绩</w:t>
            </w:r>
          </w:p>
        </w:tc>
      </w:tr>
    </w:tbl>
    <w:p>
      <w:pPr>
        <w:spacing w:line="430" w:lineRule="exact"/>
        <w:ind w:left="187" w:leftChars="85" w:hanging="9" w:hangingChars="4"/>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说明：</w:t>
      </w:r>
    </w:p>
    <w:p>
      <w:pPr>
        <w:numPr>
          <w:ilvl w:val="0"/>
          <w:numId w:val="2"/>
        </w:numPr>
        <w:tabs>
          <w:tab w:val="left" w:pos="5355"/>
        </w:tabs>
        <w:spacing w:line="43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投标人可根据采购文件中的技术规格书以及技术资信评分表，提供投标人认为需要提供的文件和资料。</w:t>
      </w:r>
    </w:p>
    <w:p>
      <w:pPr>
        <w:numPr>
          <w:ilvl w:val="0"/>
          <w:numId w:val="2"/>
        </w:numPr>
        <w:tabs>
          <w:tab w:val="left" w:pos="5355"/>
        </w:tabs>
        <w:spacing w:line="43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文件中应承诺：投标人所提供的货物或服务所有权归采购人所有。如若发生侵权事件，其侵权责任与采购人及采购代理机构无关，由投标人承担全部责任。侵权造成的所有相关费用，均由投标人支付，保证不伤害采购人的利益。</w:t>
      </w:r>
    </w:p>
    <w:p>
      <w:pPr>
        <w:numPr>
          <w:ilvl w:val="0"/>
          <w:numId w:val="2"/>
        </w:numPr>
        <w:tabs>
          <w:tab w:val="left" w:pos="5355"/>
        </w:tabs>
        <w:spacing w:line="43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投标人可在投标文件中对采购文件中的技术要求选用替代标准、补充或更改，但这些替代标准及补充更改必须相当于或优于采购文件中提出的相应技术要求，并使采购人满意。同时在技术偏离表中作出详细说明。</w:t>
      </w:r>
    </w:p>
    <w:p>
      <w:pPr>
        <w:numPr>
          <w:ilvl w:val="0"/>
          <w:numId w:val="2"/>
        </w:numPr>
        <w:tabs>
          <w:tab w:val="left" w:pos="5355"/>
        </w:tabs>
        <w:spacing w:line="430" w:lineRule="exact"/>
        <w:rPr>
          <w:rFonts w:ascii="新宋体" w:hAnsi="新宋体" w:eastAsia="新宋体" w:cs="新宋体"/>
          <w:b/>
          <w:color w:val="auto"/>
          <w:sz w:val="22"/>
          <w:szCs w:val="22"/>
          <w:highlight w:val="none"/>
          <w:u w:val="single"/>
        </w:rPr>
      </w:pPr>
      <w:r>
        <w:rPr>
          <w:rFonts w:hint="eastAsia" w:ascii="新宋体" w:hAnsi="新宋体" w:eastAsia="新宋体" w:cs="新宋体"/>
          <w:color w:val="auto"/>
          <w:sz w:val="22"/>
          <w:szCs w:val="22"/>
          <w:highlight w:val="none"/>
          <w:u w:val="single"/>
        </w:rPr>
        <w:t>以上所需的各种证书、证件、证明、执照若系复印件，须在复印件上加盖投标人有效的公章。</w:t>
      </w:r>
    </w:p>
    <w:p>
      <w:pPr>
        <w:spacing w:line="430" w:lineRule="exact"/>
        <w:rPr>
          <w:rFonts w:ascii="新宋体" w:hAnsi="新宋体" w:eastAsia="新宋体" w:cs="新宋体"/>
          <w:b/>
          <w:color w:val="auto"/>
          <w:sz w:val="22"/>
          <w:szCs w:val="22"/>
          <w:highlight w:val="none"/>
        </w:rPr>
      </w:pPr>
      <w:bookmarkStart w:id="54" w:name="_Toc221356886"/>
      <w:r>
        <w:rPr>
          <w:rFonts w:hint="eastAsia" w:ascii="新宋体" w:hAnsi="新宋体" w:eastAsia="新宋体" w:cs="新宋体"/>
          <w:b/>
          <w:color w:val="auto"/>
          <w:sz w:val="22"/>
          <w:szCs w:val="22"/>
          <w:highlight w:val="none"/>
        </w:rPr>
        <w:t>（3） 商务报价标</w:t>
      </w:r>
      <w:bookmarkEnd w:id="54"/>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7369"/>
        <w:gridCol w:w="1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vAlign w:val="center"/>
          </w:tcPr>
          <w:p>
            <w:pPr>
              <w:spacing w:line="43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7369" w:type="dxa"/>
            <w:vAlign w:val="center"/>
          </w:tcPr>
          <w:p>
            <w:pPr>
              <w:spacing w:line="43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内容</w:t>
            </w:r>
          </w:p>
        </w:tc>
        <w:tc>
          <w:tcPr>
            <w:tcW w:w="1577" w:type="dxa"/>
            <w:vAlign w:val="center"/>
          </w:tcPr>
          <w:p>
            <w:pPr>
              <w:spacing w:line="430" w:lineRule="exact"/>
              <w:jc w:val="center"/>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vAlign w:val="center"/>
          </w:tcPr>
          <w:p>
            <w:pPr>
              <w:spacing w:line="430" w:lineRule="exact"/>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7369" w:type="dxa"/>
            <w:vAlign w:val="center"/>
          </w:tcPr>
          <w:p>
            <w:pPr>
              <w:spacing w:line="430" w:lineRule="exact"/>
              <w:rPr>
                <w:rFonts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开标一览表</w:t>
            </w:r>
          </w:p>
        </w:tc>
        <w:tc>
          <w:tcPr>
            <w:tcW w:w="1577" w:type="dxa"/>
            <w:vAlign w:val="center"/>
          </w:tcPr>
          <w:p>
            <w:pPr>
              <w:spacing w:line="430" w:lineRule="exact"/>
              <w:rPr>
                <w:rFonts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vAlign w:val="center"/>
          </w:tcPr>
          <w:p>
            <w:pPr>
              <w:spacing w:line="430" w:lineRule="exact"/>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7369" w:type="dxa"/>
            <w:vAlign w:val="center"/>
          </w:tcPr>
          <w:p>
            <w:pPr>
              <w:spacing w:line="430" w:lineRule="exact"/>
              <w:rPr>
                <w:rFonts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投标分项报价表</w:t>
            </w:r>
          </w:p>
        </w:tc>
        <w:tc>
          <w:tcPr>
            <w:tcW w:w="1577" w:type="dxa"/>
            <w:vAlign w:val="center"/>
          </w:tcPr>
          <w:p>
            <w:pPr>
              <w:spacing w:line="430" w:lineRule="exact"/>
              <w:rPr>
                <w:rFonts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（附件三）</w:t>
            </w:r>
          </w:p>
        </w:tc>
      </w:tr>
    </w:tbl>
    <w:p>
      <w:pPr>
        <w:tabs>
          <w:tab w:val="left" w:pos="36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10.2投标文件格式</w:t>
      </w:r>
    </w:p>
    <w:p>
      <w:pPr>
        <w:numPr>
          <w:ilvl w:val="0"/>
          <w:numId w:val="3"/>
        </w:numPr>
        <w:spacing w:line="44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投标人应根据</w:t>
      </w:r>
      <w:r>
        <w:rPr>
          <w:rFonts w:hint="eastAsia" w:ascii="新宋体" w:hAnsi="新宋体" w:eastAsia="新宋体" w:cs="新宋体"/>
          <w:color w:val="auto"/>
          <w:sz w:val="22"/>
          <w:szCs w:val="22"/>
          <w:highlight w:val="none"/>
        </w:rPr>
        <w:t>采购</w:t>
      </w:r>
      <w:r>
        <w:rPr>
          <w:rFonts w:hint="eastAsia" w:ascii="新宋体" w:hAnsi="新宋体" w:eastAsia="新宋体" w:cs="新宋体"/>
          <w:bCs/>
          <w:color w:val="auto"/>
          <w:sz w:val="22"/>
          <w:szCs w:val="22"/>
          <w:highlight w:val="none"/>
        </w:rPr>
        <w:t>文件中所提供的格式，内容按顺序填写并装订成册,不允许以活页夹形式装订投标文件；</w:t>
      </w:r>
    </w:p>
    <w:p>
      <w:pPr>
        <w:numPr>
          <w:ilvl w:val="0"/>
          <w:numId w:val="3"/>
        </w:numPr>
        <w:spacing w:line="440" w:lineRule="exact"/>
        <w:rPr>
          <w:rFonts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lang w:val="zh-CN"/>
        </w:rPr>
        <w:t>资格审查资料、技术资信标、商务报价标分别包装于各自标函袋中，标函袋不做统一要求。</w:t>
      </w:r>
    </w:p>
    <w:p>
      <w:pPr>
        <w:numPr>
          <w:ilvl w:val="0"/>
          <w:numId w:val="3"/>
        </w:numPr>
        <w:spacing w:line="440" w:lineRule="exact"/>
        <w:rPr>
          <w:rFonts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投标文件应有目录以及页码，以便评委检索。</w:t>
      </w:r>
    </w:p>
    <w:p>
      <w:pPr>
        <w:numPr>
          <w:ilvl w:val="0"/>
          <w:numId w:val="3"/>
        </w:numPr>
        <w:spacing w:line="440" w:lineRule="exact"/>
        <w:rPr>
          <w:rFonts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证书、证件、证明等原件，属备查项目，并非强制性要求。投标人若提交原件资料，应将原件单独包封，与投标文件一同向采购代理机构递交。</w:t>
      </w:r>
      <w:r>
        <w:rPr>
          <w:rFonts w:hint="eastAsia" w:ascii="新宋体" w:hAnsi="新宋体" w:eastAsia="新宋体" w:cs="新宋体"/>
          <w:color w:val="auto"/>
          <w:sz w:val="22"/>
          <w:szCs w:val="22"/>
          <w:highlight w:val="none"/>
        </w:rPr>
        <w:t>评标主要依据投标人投标文件中加盖有效公章的证书/证明文件复印件，如评标委员会对复印件有异议的，可在投标人提供原件资料里核查，若投标人未提供原件资料佐证的，则承担相应评分项不得分的风险。</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11.投标报价</w:t>
      </w:r>
    </w:p>
    <w:p>
      <w:pPr>
        <w:spacing w:line="360" w:lineRule="auto"/>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11.1</w:t>
      </w:r>
      <w:r>
        <w:rPr>
          <w:rFonts w:hint="eastAsia" w:ascii="宋体" w:hAnsi="宋体" w:cs="楷体"/>
          <w:b/>
          <w:bCs/>
          <w:color w:val="auto"/>
          <w:sz w:val="22"/>
          <w:szCs w:val="22"/>
          <w:highlight w:val="none"/>
          <w:u w:val="single"/>
        </w:rPr>
        <w:t>▲投标报价是指供应商在正确地完全履行合同义务后采购人应支付给乙方所有的货物以及服务价款，即应包括</w:t>
      </w:r>
      <w:r>
        <w:rPr>
          <w:rFonts w:hint="eastAsia" w:ascii="宋体" w:hAnsi="宋体" w:eastAsia="宋体" w:cs="宋体"/>
          <w:b/>
          <w:bCs/>
          <w:color w:val="auto"/>
          <w:sz w:val="22"/>
          <w:szCs w:val="22"/>
          <w:highlight w:val="none"/>
          <w:u w:val="single"/>
        </w:rPr>
        <w:t>货物、</w:t>
      </w:r>
      <w:r>
        <w:rPr>
          <w:rFonts w:hint="eastAsia" w:ascii="宋体" w:hAnsi="宋体" w:eastAsia="宋体" w:cs="宋体"/>
          <w:b/>
          <w:bCs/>
          <w:color w:val="auto"/>
          <w:sz w:val="22"/>
          <w:szCs w:val="22"/>
          <w:highlight w:val="none"/>
          <w:u w:val="single"/>
          <w:lang w:val="en-US" w:eastAsia="zh-CN"/>
        </w:rPr>
        <w:t>配套</w:t>
      </w:r>
      <w:r>
        <w:rPr>
          <w:rFonts w:hint="eastAsia" w:ascii="宋体" w:hAnsi="宋体" w:eastAsia="宋体" w:cs="宋体"/>
          <w:b/>
          <w:bCs/>
          <w:color w:val="auto"/>
          <w:sz w:val="22"/>
          <w:szCs w:val="22"/>
          <w:highlight w:val="none"/>
          <w:u w:val="single"/>
        </w:rPr>
        <w:t>软件、标准附件、备品备件、专用工具、 图纸资料、 技术服务， 包装、 运输、 装卸、 保险、 税金， 货到就位以及安装、 调试、培训、保修等验收合格之前和质保期内的售后服务一切税金和费用</w:t>
      </w:r>
      <w:r>
        <w:rPr>
          <w:rFonts w:hint="eastAsia" w:ascii="宋体" w:hAnsi="宋体" w:cs="楷体"/>
          <w:b/>
          <w:bCs/>
          <w:color w:val="auto"/>
          <w:sz w:val="22"/>
          <w:szCs w:val="22"/>
          <w:highlight w:val="none"/>
          <w:u w:val="single"/>
        </w:rPr>
        <w:t>，实行固定费用总包干。投标人应根据上述因素自行考虑含入投标总价。</w:t>
      </w:r>
    </w:p>
    <w:p>
      <w:pPr>
        <w:tabs>
          <w:tab w:val="left" w:pos="525"/>
        </w:tabs>
        <w:spacing w:line="400" w:lineRule="exact"/>
        <w:rPr>
          <w:rFonts w:ascii="新宋体" w:hAnsi="新宋体" w:eastAsia="新宋体" w:cs="新宋体"/>
          <w:bCs/>
          <w:color w:val="auto"/>
          <w:kern w:val="0"/>
          <w:sz w:val="22"/>
          <w:szCs w:val="22"/>
          <w:highlight w:val="none"/>
          <w:lang w:val="zh-CN"/>
        </w:rPr>
      </w:pPr>
      <w:r>
        <w:rPr>
          <w:rFonts w:hint="eastAsia" w:ascii="新宋体" w:hAnsi="新宋体" w:eastAsia="新宋体" w:cs="新宋体"/>
          <w:bCs/>
          <w:color w:val="auto"/>
          <w:kern w:val="0"/>
          <w:sz w:val="22"/>
          <w:szCs w:val="22"/>
          <w:highlight w:val="none"/>
        </w:rPr>
        <w:t xml:space="preserve">11.2 </w:t>
      </w:r>
      <w:r>
        <w:rPr>
          <w:rFonts w:hint="eastAsia" w:ascii="新宋体" w:hAnsi="新宋体" w:eastAsia="新宋体" w:cs="新宋体"/>
          <w:bCs/>
          <w:color w:val="auto"/>
          <w:kern w:val="0"/>
          <w:sz w:val="22"/>
          <w:szCs w:val="22"/>
          <w:highlight w:val="none"/>
          <w:lang w:val="zh-CN"/>
        </w:rPr>
        <w:t>投标人须认真阅读、充分理解采购文件，如有疑问可在询疑截止时间前送达（或传真）采购代理机构，采购代理机构将会统一解答。任何因对本项目采购文件理解不清、产生歧义等由此产生的费用，视作已含在投标总价中。</w:t>
      </w:r>
    </w:p>
    <w:p>
      <w:pPr>
        <w:tabs>
          <w:tab w:val="left" w:pos="525"/>
        </w:tabs>
        <w:spacing w:line="400" w:lineRule="exact"/>
        <w:rPr>
          <w:rFonts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 xml:space="preserve">11.3 </w:t>
      </w:r>
      <w:r>
        <w:rPr>
          <w:rFonts w:hint="eastAsia" w:ascii="新宋体" w:hAnsi="新宋体" w:eastAsia="新宋体" w:cs="新宋体"/>
          <w:bCs/>
          <w:color w:val="auto"/>
          <w:kern w:val="0"/>
          <w:sz w:val="22"/>
          <w:szCs w:val="22"/>
          <w:highlight w:val="none"/>
          <w:lang w:val="zh-CN"/>
        </w:rPr>
        <w:t>投标人必须按第三部分附件的开标一览表（统一格式）、投标分项报价表（统一格式）的内容填写单价、合价及其他事项，并由法定代表人或授权代表签署。</w:t>
      </w:r>
    </w:p>
    <w:p>
      <w:pPr>
        <w:tabs>
          <w:tab w:val="left" w:pos="525"/>
        </w:tabs>
        <w:spacing w:line="40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11.4 报价货币基础为人民币。</w:t>
      </w:r>
    </w:p>
    <w:p>
      <w:pPr>
        <w:tabs>
          <w:tab w:val="left" w:pos="525"/>
        </w:tabs>
        <w:spacing w:line="40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11.5 采购人不接受任何选择报价，只允许一个报价。</w:t>
      </w:r>
    </w:p>
    <w:p>
      <w:pPr>
        <w:tabs>
          <w:tab w:val="left" w:pos="525"/>
        </w:tabs>
        <w:spacing w:line="400" w:lineRule="exact"/>
        <w:rPr>
          <w:rFonts w:ascii="新宋体" w:hAnsi="新宋体" w:eastAsia="新宋体" w:cs="新宋体"/>
          <w:bCs/>
          <w:color w:val="auto"/>
          <w:kern w:val="0"/>
          <w:sz w:val="22"/>
          <w:szCs w:val="22"/>
          <w:highlight w:val="none"/>
          <w:lang w:val="zh-CN"/>
        </w:rPr>
      </w:pPr>
      <w:r>
        <w:rPr>
          <w:rFonts w:hint="eastAsia" w:ascii="新宋体" w:hAnsi="新宋体" w:eastAsia="新宋体" w:cs="新宋体"/>
          <w:bCs/>
          <w:color w:val="auto"/>
          <w:kern w:val="0"/>
          <w:sz w:val="22"/>
          <w:szCs w:val="22"/>
          <w:highlight w:val="none"/>
        </w:rPr>
        <w:t xml:space="preserve">11.6 </w:t>
      </w:r>
      <w:r>
        <w:rPr>
          <w:rFonts w:hint="eastAsia" w:ascii="新宋体" w:hAnsi="新宋体" w:eastAsia="新宋体" w:cs="新宋体"/>
          <w:bCs/>
          <w:color w:val="auto"/>
          <w:kern w:val="0"/>
          <w:sz w:val="22"/>
          <w:szCs w:val="22"/>
          <w:highlight w:val="none"/>
          <w:lang w:val="zh-CN"/>
        </w:rPr>
        <w:t>投标人所报的投标价在合同执行过程中是固定不变的，不得以任何理由予以变更。任何包含价格调整的要求，将被认为是非实质性响应投标而予以拒绝。</w:t>
      </w:r>
    </w:p>
    <w:p>
      <w:pPr>
        <w:tabs>
          <w:tab w:val="left" w:pos="525"/>
        </w:tabs>
        <w:spacing w:line="400" w:lineRule="exact"/>
        <w:rPr>
          <w:rFonts w:ascii="新宋体" w:hAnsi="新宋体" w:eastAsia="新宋体" w:cs="新宋体"/>
          <w:color w:val="auto"/>
          <w:sz w:val="22"/>
          <w:szCs w:val="22"/>
          <w:highlight w:val="none"/>
        </w:rPr>
      </w:pPr>
      <w:r>
        <w:rPr>
          <w:rFonts w:hint="eastAsia" w:ascii="新宋体" w:hAnsi="新宋体" w:eastAsia="新宋体" w:cs="新宋体"/>
          <w:bCs/>
          <w:color w:val="auto"/>
          <w:kern w:val="0"/>
          <w:sz w:val="22"/>
          <w:szCs w:val="22"/>
          <w:highlight w:val="none"/>
        </w:rPr>
        <w:t>11.7</w:t>
      </w:r>
      <w:r>
        <w:rPr>
          <w:rFonts w:hint="eastAsia" w:ascii="新宋体" w:hAnsi="新宋体" w:eastAsia="新宋体" w:cs="新宋体"/>
          <w:bCs/>
          <w:color w:val="auto"/>
          <w:kern w:val="0"/>
          <w:sz w:val="22"/>
          <w:szCs w:val="22"/>
          <w:highlight w:val="none"/>
          <w:u w:val="single"/>
        </w:rPr>
        <w:t>报价是中标的一个重要因素，但最低报价不是中标的唯一依据</w:t>
      </w:r>
      <w:r>
        <w:rPr>
          <w:rFonts w:hint="eastAsia" w:ascii="新宋体" w:hAnsi="新宋体" w:eastAsia="新宋体" w:cs="新宋体"/>
          <w:bCs/>
          <w:color w:val="auto"/>
          <w:kern w:val="0"/>
          <w:sz w:val="22"/>
          <w:szCs w:val="22"/>
          <w:highlight w:val="none"/>
        </w:rPr>
        <w:t>。</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12.投标保证金</w:t>
      </w:r>
    </w:p>
    <w:p>
      <w:pPr>
        <w:tabs>
          <w:tab w:val="left" w:pos="540"/>
        </w:tabs>
        <w:spacing w:line="46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12.1 投标人须按照前附表的要求提供由投标单位账号汇出的投标保证金，否则按无效标处理。</w:t>
      </w:r>
    </w:p>
    <w:p>
      <w:pPr>
        <w:tabs>
          <w:tab w:val="left" w:pos="540"/>
        </w:tabs>
        <w:spacing w:line="46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12.2 中标人的投标保证金在中标人与采购人签订了合同</w:t>
      </w:r>
      <w:r>
        <w:rPr>
          <w:rFonts w:hint="eastAsia" w:ascii="新宋体" w:hAnsi="新宋体" w:eastAsia="新宋体" w:cs="新宋体"/>
          <w:color w:val="auto"/>
          <w:sz w:val="22"/>
          <w:szCs w:val="22"/>
          <w:highlight w:val="none"/>
        </w:rPr>
        <w:t>并合同经备案后5个工作日内无息退还，未中标人的投标保证金将在确定中标人后7个工作日内无息退还。</w:t>
      </w:r>
    </w:p>
    <w:p>
      <w:pPr>
        <w:tabs>
          <w:tab w:val="left" w:pos="540"/>
        </w:tabs>
        <w:spacing w:line="46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12.3 如发生下列情况之一，投标保证金将不予退还：</w:t>
      </w:r>
    </w:p>
    <w:p>
      <w:pPr>
        <w:numPr>
          <w:ilvl w:val="0"/>
          <w:numId w:val="4"/>
        </w:numPr>
        <w:tabs>
          <w:tab w:val="left" w:pos="360"/>
          <w:tab w:val="clear" w:pos="420"/>
        </w:tabs>
        <w:spacing w:line="430" w:lineRule="exact"/>
        <w:ind w:left="720" w:hanging="72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投标人在采购文件规定的投标有效期内撤回投标；</w:t>
      </w:r>
    </w:p>
    <w:p>
      <w:pPr>
        <w:numPr>
          <w:ilvl w:val="0"/>
          <w:numId w:val="4"/>
        </w:numPr>
        <w:tabs>
          <w:tab w:val="left" w:pos="360"/>
          <w:tab w:val="clear" w:pos="420"/>
        </w:tabs>
        <w:spacing w:line="430" w:lineRule="exact"/>
        <w:ind w:left="720" w:hanging="72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中标人未按中标通知书中规定的时间与采购人签订合同；</w:t>
      </w:r>
    </w:p>
    <w:p>
      <w:pPr>
        <w:numPr>
          <w:ilvl w:val="0"/>
          <w:numId w:val="4"/>
        </w:numPr>
        <w:tabs>
          <w:tab w:val="left" w:pos="360"/>
          <w:tab w:val="clear" w:pos="420"/>
        </w:tabs>
        <w:spacing w:line="430" w:lineRule="exact"/>
        <w:ind w:left="720" w:hanging="72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投标人在采购文件中提供虚假技术指标及参数，经评标委员会确认属实的。</w:t>
      </w:r>
    </w:p>
    <w:p>
      <w:pPr>
        <w:numPr>
          <w:ilvl w:val="0"/>
          <w:numId w:val="4"/>
        </w:numPr>
        <w:tabs>
          <w:tab w:val="left" w:pos="360"/>
          <w:tab w:val="clear" w:pos="420"/>
        </w:tabs>
        <w:spacing w:line="430" w:lineRule="exact"/>
        <w:ind w:left="720" w:hanging="72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经认定投标人有违反有关法律法规的行为。</w:t>
      </w:r>
    </w:p>
    <w:p>
      <w:pPr>
        <w:tabs>
          <w:tab w:val="left" w:pos="540"/>
        </w:tabs>
        <w:spacing w:line="460" w:lineRule="exact"/>
        <w:rPr>
          <w:rFonts w:ascii="新宋体" w:hAnsi="新宋体" w:eastAsia="新宋体" w:cs="新宋体"/>
          <w:b/>
          <w:color w:val="auto"/>
          <w:sz w:val="22"/>
          <w:szCs w:val="22"/>
          <w:highlight w:val="none"/>
        </w:rPr>
      </w:pPr>
      <w:r>
        <w:rPr>
          <w:rFonts w:hint="eastAsia" w:ascii="新宋体" w:hAnsi="新宋体" w:eastAsia="新宋体" w:cs="新宋体"/>
          <w:bCs/>
          <w:color w:val="auto"/>
          <w:sz w:val="22"/>
          <w:szCs w:val="22"/>
          <w:highlight w:val="none"/>
        </w:rPr>
        <w:t>13.投标有效期</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13.1 自开标之日起</w:t>
      </w:r>
      <w:r>
        <w:rPr>
          <w:rFonts w:hint="eastAsia" w:ascii="新宋体" w:hAnsi="新宋体" w:eastAsia="新宋体" w:cs="新宋体"/>
          <w:b/>
          <w:color w:val="auto"/>
          <w:sz w:val="22"/>
          <w:szCs w:val="22"/>
          <w:highlight w:val="none"/>
          <w:u w:val="single"/>
        </w:rPr>
        <w:t xml:space="preserve"> 90</w:t>
      </w:r>
      <w:r>
        <w:rPr>
          <w:rFonts w:hint="eastAsia" w:ascii="新宋体" w:hAnsi="新宋体" w:eastAsia="新宋体" w:cs="新宋体"/>
          <w:b/>
          <w:color w:val="auto"/>
          <w:sz w:val="22"/>
          <w:szCs w:val="22"/>
          <w:highlight w:val="none"/>
        </w:rPr>
        <w:t>天内投标应保持有效。投标有效期短于这个规定期限的投标将视为非响应性投标而予以拒绝。</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13.2 特殊情况下，在原投标有效期截止前，采购人可与投标人协商延长投标有效期，这种要求和答复均以书面形式进行。投标人可拒绝接受延期要求，而不会导致投标保证金不予退还。同意延长投标有效期的投标人不得修改投标文件。有关退还和不予退还投标保证金的规定在投标有效期的延长期内继续有效。</w:t>
      </w:r>
    </w:p>
    <w:p>
      <w:pPr>
        <w:tabs>
          <w:tab w:val="left" w:pos="540"/>
        </w:tabs>
        <w:spacing w:line="46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14.投标文件的签署和规定</w:t>
      </w:r>
    </w:p>
    <w:p>
      <w:pPr>
        <w:tabs>
          <w:tab w:val="left" w:pos="540"/>
        </w:tabs>
        <w:spacing w:line="460" w:lineRule="exact"/>
        <w:ind w:left="-27"/>
        <w:rPr>
          <w:rFonts w:ascii="新宋体" w:hAnsi="新宋体" w:eastAsia="新宋体" w:cs="新宋体"/>
          <w:b/>
          <w:color w:val="auto"/>
          <w:sz w:val="22"/>
          <w:szCs w:val="22"/>
          <w:highlight w:val="none"/>
          <w:u w:val="single"/>
        </w:rPr>
      </w:pPr>
      <w:r>
        <w:rPr>
          <w:rFonts w:hint="eastAsia" w:ascii="新宋体" w:hAnsi="新宋体" w:eastAsia="新宋体" w:cs="新宋体"/>
          <w:b/>
          <w:color w:val="auto"/>
          <w:sz w:val="22"/>
          <w:szCs w:val="22"/>
          <w:highlight w:val="none"/>
          <w:u w:val="single"/>
        </w:rPr>
        <w:t>14.1投标人应按照前附表的要求提供投标文件，分别装订成册。每套投标文件的封面应清楚标明“正本”或“副本”字样，若“正本”与“副本”不符，以“正本”为准。</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14.2投标文件的正本必须打印或用不褪色的墨水书写，并由法定代表人或其授权代表签署，副本可用正本的复印。</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14.3投标文件如有修改和增删必须由投标文件签字人在修改和增删处旁签署或盖章，方才有效。</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14.4投标文件字迹模糊或在关键的技术、商务条款上表述不清楚，将可能导致其投标被拒绝。</w:t>
      </w:r>
    </w:p>
    <w:p>
      <w:pPr>
        <w:tabs>
          <w:tab w:val="left" w:pos="540"/>
        </w:tabs>
        <w:spacing w:line="46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15.投标文件的密封及标记</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15.1 投标人必须将投标文件的“资格审查资料”、“技术资信标”、“商务报价标”分别单独密封，且在各自的密封袋上标明“技术资信标”和“商务报价标”字样。封口处贴上封条，启封处加盖投标单位公章并由法定代表人或其授权代表签字。封皮上写明投标项目名称、项目编号，并注明“开标时启封”字样。</w:t>
      </w:r>
    </w:p>
    <w:p>
      <w:pPr>
        <w:tabs>
          <w:tab w:val="left" w:pos="540"/>
        </w:tabs>
        <w:spacing w:line="46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15.2 如果投标人未按上述要求密封及加写标记，导致投标文件被拒绝接收的责任自负。</w:t>
      </w:r>
    </w:p>
    <w:p>
      <w:pPr>
        <w:spacing w:before="100" w:beforeAutospacing="1" w:after="100" w:afterAutospacing="1" w:line="440" w:lineRule="exact"/>
        <w:ind w:left="783" w:hanging="783" w:hangingChars="300"/>
        <w:jc w:val="center"/>
        <w:outlineLvl w:val="0"/>
        <w:rPr>
          <w:rFonts w:ascii="新宋体" w:hAnsi="新宋体" w:eastAsia="新宋体" w:cs="新宋体"/>
          <w:color w:val="auto"/>
          <w:sz w:val="22"/>
          <w:szCs w:val="22"/>
          <w:highlight w:val="none"/>
        </w:rPr>
      </w:pPr>
      <w:bookmarkStart w:id="55" w:name="_Toc265529383"/>
      <w:bookmarkStart w:id="56" w:name="_Toc222114879"/>
      <w:bookmarkStart w:id="57" w:name="_Toc15440"/>
      <w:bookmarkStart w:id="58" w:name="_Toc239145354"/>
      <w:bookmarkStart w:id="59" w:name="_Toc221374626"/>
      <w:bookmarkStart w:id="60" w:name="_Toc221423619"/>
      <w:bookmarkStart w:id="61" w:name="_Toc221356951"/>
      <w:bookmarkStart w:id="62" w:name="_Toc223715998"/>
      <w:bookmarkStart w:id="63" w:name="_Toc71374675"/>
      <w:bookmarkStart w:id="64" w:name="_Toc241404202"/>
      <w:bookmarkStart w:id="65" w:name="_Toc221356887"/>
      <w:r>
        <w:rPr>
          <w:rFonts w:hint="eastAsia" w:ascii="新宋体" w:hAnsi="新宋体" w:eastAsia="新宋体" w:cs="新宋体"/>
          <w:b/>
          <w:bCs/>
          <w:color w:val="auto"/>
          <w:sz w:val="26"/>
          <w:szCs w:val="26"/>
          <w:highlight w:val="none"/>
        </w:rPr>
        <w:t>四、 投标文件的递交</w:t>
      </w:r>
      <w:bookmarkEnd w:id="55"/>
      <w:bookmarkEnd w:id="56"/>
      <w:bookmarkEnd w:id="57"/>
      <w:bookmarkEnd w:id="58"/>
      <w:bookmarkEnd w:id="59"/>
      <w:bookmarkEnd w:id="60"/>
      <w:bookmarkEnd w:id="61"/>
      <w:bookmarkEnd w:id="62"/>
      <w:bookmarkEnd w:id="63"/>
      <w:bookmarkEnd w:id="64"/>
      <w:bookmarkEnd w:id="65"/>
    </w:p>
    <w:p>
      <w:pPr>
        <w:tabs>
          <w:tab w:val="left" w:pos="540"/>
        </w:tabs>
        <w:spacing w:line="460" w:lineRule="exact"/>
        <w:rPr>
          <w:rFonts w:ascii="新宋体" w:hAnsi="新宋体" w:eastAsia="新宋体" w:cs="新宋体"/>
          <w:b/>
          <w:color w:val="auto"/>
          <w:sz w:val="22"/>
          <w:szCs w:val="22"/>
          <w:highlight w:val="none"/>
        </w:rPr>
      </w:pPr>
      <w:r>
        <w:rPr>
          <w:rFonts w:hint="eastAsia" w:ascii="新宋体" w:hAnsi="新宋体" w:eastAsia="新宋体" w:cs="新宋体"/>
          <w:bCs/>
          <w:color w:val="auto"/>
          <w:sz w:val="22"/>
          <w:szCs w:val="22"/>
          <w:highlight w:val="none"/>
        </w:rPr>
        <w:t>16.投标文件的递交</w:t>
      </w:r>
    </w:p>
    <w:p>
      <w:pPr>
        <w:tabs>
          <w:tab w:val="left" w:pos="540"/>
        </w:tabs>
        <w:spacing w:line="46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16.1 投标文件必须在规定的投标截止时间前送达到指定的收标地点；</w:t>
      </w:r>
    </w:p>
    <w:p>
      <w:pPr>
        <w:tabs>
          <w:tab w:val="left" w:pos="540"/>
        </w:tabs>
        <w:spacing w:line="460" w:lineRule="exact"/>
        <w:rPr>
          <w:rFonts w:ascii="新宋体" w:hAnsi="新宋体" w:eastAsia="新宋体" w:cs="新宋体"/>
          <w:b/>
          <w:color w:val="auto"/>
          <w:sz w:val="22"/>
          <w:szCs w:val="22"/>
          <w:highlight w:val="none"/>
          <w:u w:val="single"/>
        </w:rPr>
      </w:pPr>
      <w:r>
        <w:rPr>
          <w:rFonts w:hint="eastAsia" w:ascii="新宋体" w:hAnsi="新宋体" w:eastAsia="新宋体" w:cs="新宋体"/>
          <w:b/>
          <w:color w:val="auto"/>
          <w:sz w:val="22"/>
          <w:szCs w:val="22"/>
          <w:highlight w:val="none"/>
          <w:u w:val="single"/>
        </w:rPr>
        <w:t>16.2 ▲在递交投标文件同时递交以下证明文件，由采购人或采购代理机构在开启投标文件技术资信标后确认投标资格：</w:t>
      </w:r>
    </w:p>
    <w:p>
      <w:pPr>
        <w:numPr>
          <w:ilvl w:val="0"/>
          <w:numId w:val="5"/>
        </w:numPr>
        <w:tabs>
          <w:tab w:val="left" w:pos="540"/>
        </w:tabs>
        <w:spacing w:line="460" w:lineRule="exact"/>
        <w:rPr>
          <w:rFonts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投标保证金缴纳证明文件；</w:t>
      </w:r>
    </w:p>
    <w:p>
      <w:pPr>
        <w:numPr>
          <w:ilvl w:val="0"/>
          <w:numId w:val="5"/>
        </w:numPr>
        <w:tabs>
          <w:tab w:val="left" w:pos="540"/>
        </w:tabs>
        <w:spacing w:line="460" w:lineRule="exact"/>
        <w:rPr>
          <w:rFonts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法定代表人有效身份证明原件（若投标人代表为法定代表人）（以邮寄方式递交标书的，提供复印件即可）；</w:t>
      </w:r>
    </w:p>
    <w:p>
      <w:pPr>
        <w:numPr>
          <w:ilvl w:val="0"/>
          <w:numId w:val="5"/>
        </w:numPr>
        <w:tabs>
          <w:tab w:val="left" w:pos="540"/>
        </w:tabs>
        <w:spacing w:line="460" w:lineRule="exact"/>
        <w:rPr>
          <w:rFonts w:ascii="新宋体" w:hAnsi="新宋体" w:eastAsia="新宋体" w:cs="新宋体"/>
          <w:bCs/>
          <w:color w:val="auto"/>
          <w:sz w:val="22"/>
          <w:szCs w:val="22"/>
          <w:highlight w:val="none"/>
          <w:u w:val="single"/>
        </w:rPr>
      </w:pPr>
      <w:r>
        <w:rPr>
          <w:rFonts w:hint="eastAsia" w:ascii="新宋体" w:hAnsi="新宋体" w:eastAsia="新宋体" w:cs="新宋体"/>
          <w:bCs/>
          <w:color w:val="auto"/>
          <w:kern w:val="0"/>
          <w:sz w:val="22"/>
          <w:szCs w:val="22"/>
          <w:highlight w:val="none"/>
        </w:rPr>
        <w:t>法定代表人授权书原件及授权代表有效身份证明原件（若法定代表人在参加投标活动的同时另行委派投标人代表，法定代表人授权书原件如密封在投标文件技术资信标中，在技术资信标开启后经采购人或采购代理机构查验符合要求亦为有效）；（以邮寄方式递交标书的，提供复印件即可）；</w:t>
      </w:r>
    </w:p>
    <w:p>
      <w:pPr>
        <w:numPr>
          <w:ilvl w:val="0"/>
          <w:numId w:val="5"/>
        </w:numPr>
        <w:tabs>
          <w:tab w:val="left" w:pos="540"/>
        </w:tabs>
        <w:spacing w:line="460" w:lineRule="exact"/>
        <w:rPr>
          <w:color w:val="auto"/>
          <w:highlight w:val="none"/>
        </w:rPr>
      </w:pPr>
      <w:r>
        <w:rPr>
          <w:rFonts w:hint="eastAsia" w:ascii="新宋体" w:hAnsi="新宋体" w:eastAsia="新宋体" w:cs="新宋体"/>
          <w:bCs/>
          <w:color w:val="auto"/>
          <w:kern w:val="0"/>
          <w:sz w:val="22"/>
          <w:szCs w:val="22"/>
          <w:highlight w:val="none"/>
        </w:rPr>
        <w:t>企业法人营业执照复印件（加盖公章，如密封在投标文件技术资信标中，在技术资信标开启后经采购人或采购代理机构查验符合要求亦为有效）。</w:t>
      </w:r>
    </w:p>
    <w:p>
      <w:pPr>
        <w:tabs>
          <w:tab w:val="left" w:pos="540"/>
        </w:tabs>
        <w:spacing w:line="46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17.投标文件的修改和撤回</w:t>
      </w:r>
    </w:p>
    <w:p>
      <w:pPr>
        <w:tabs>
          <w:tab w:val="left" w:pos="540"/>
        </w:tabs>
        <w:spacing w:line="460" w:lineRule="exact"/>
        <w:rPr>
          <w:rFonts w:ascii="新宋体" w:hAnsi="新宋体" w:eastAsia="新宋体" w:cs="新宋体"/>
          <w:bCs/>
          <w:color w:val="auto"/>
          <w:sz w:val="22"/>
          <w:szCs w:val="22"/>
          <w:highlight w:val="none"/>
        </w:rPr>
      </w:pPr>
      <w:r>
        <w:rPr>
          <w:rFonts w:hint="eastAsia" w:ascii="新宋体" w:hAnsi="新宋体" w:eastAsia="新宋体" w:cs="新宋体"/>
          <w:b/>
          <w:color w:val="auto"/>
          <w:sz w:val="22"/>
          <w:szCs w:val="22"/>
          <w:highlight w:val="none"/>
        </w:rPr>
        <w:t>17.1 在投标截止时间前，投标人可以用书面形式提出修改或撤回其投标并送达到采购人，但不得影响开标活动的正常进行。</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17.2 “投标文件修改”或“投标文件撤回通知”都应密封并在密封袋上写明投标项目名称、项目编号、投标单位名称，并注明“投标文件修改”或“投标文件撤回通知”字样。</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17.3 从投标截止日期起至投标有效期满这段时间内，投标人不得撤回其投标，否则投标保证金将</w:t>
      </w:r>
      <w:r>
        <w:rPr>
          <w:rFonts w:hint="eastAsia" w:ascii="新宋体" w:hAnsi="新宋体" w:eastAsia="新宋体" w:cs="新宋体"/>
          <w:color w:val="auto"/>
          <w:sz w:val="22"/>
          <w:szCs w:val="22"/>
          <w:highlight w:val="none"/>
        </w:rPr>
        <w:t>被不予退还。</w:t>
      </w:r>
    </w:p>
    <w:p>
      <w:pPr>
        <w:tabs>
          <w:tab w:val="left" w:pos="540"/>
        </w:tabs>
        <w:spacing w:line="460" w:lineRule="exact"/>
        <w:rPr>
          <w:rFonts w:ascii="新宋体" w:hAnsi="新宋体" w:eastAsia="新宋体" w:cs="新宋体"/>
          <w:bCs/>
          <w:color w:val="auto"/>
          <w:sz w:val="22"/>
          <w:szCs w:val="22"/>
          <w:highlight w:val="none"/>
        </w:rPr>
      </w:pPr>
      <w:r>
        <w:rPr>
          <w:rFonts w:hint="eastAsia" w:ascii="宋体" w:hAnsi="宋体" w:cs="宋体"/>
          <w:color w:val="auto"/>
          <w:highlight w:val="none"/>
        </w:rPr>
        <w:t>▲</w:t>
      </w:r>
      <w:r>
        <w:rPr>
          <w:rFonts w:hint="eastAsia" w:ascii="新宋体" w:hAnsi="新宋体" w:eastAsia="新宋体" w:cs="新宋体"/>
          <w:color w:val="auto"/>
          <w:sz w:val="22"/>
          <w:highlight w:val="none"/>
        </w:rPr>
        <w:t>18.递交投标文件时，需满足以下要求，否则投标文件将被拒绝接收：</w:t>
      </w:r>
    </w:p>
    <w:p>
      <w:pPr>
        <w:tabs>
          <w:tab w:val="left" w:pos="540"/>
        </w:tabs>
        <w:spacing w:line="460" w:lineRule="exac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18.1 在投标截止时间之前递交。</w:t>
      </w:r>
    </w:p>
    <w:p>
      <w:pPr>
        <w:tabs>
          <w:tab w:val="left" w:pos="540"/>
        </w:tabs>
        <w:spacing w:line="460" w:lineRule="exac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18.2 包装与密封符合采购文件要求。</w:t>
      </w:r>
    </w:p>
    <w:p>
      <w:pPr>
        <w:tabs>
          <w:tab w:val="left" w:pos="540"/>
        </w:tabs>
        <w:spacing w:line="460" w:lineRule="exac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18.3 投标文件递交到指定的投标地点。</w:t>
      </w:r>
    </w:p>
    <w:p>
      <w:pPr>
        <w:tabs>
          <w:tab w:val="left" w:pos="360"/>
          <w:tab w:val="left" w:pos="540"/>
          <w:tab w:val="left" w:pos="1260"/>
        </w:tabs>
        <w:spacing w:before="100" w:beforeAutospacing="1" w:after="100" w:afterAutospacing="1" w:line="440" w:lineRule="exact"/>
        <w:ind w:left="919" w:hanging="919" w:hangingChars="352"/>
        <w:jc w:val="center"/>
        <w:outlineLvl w:val="0"/>
        <w:rPr>
          <w:rFonts w:ascii="新宋体" w:hAnsi="新宋体" w:eastAsia="新宋体" w:cs="新宋体"/>
          <w:color w:val="auto"/>
          <w:sz w:val="22"/>
          <w:szCs w:val="22"/>
          <w:highlight w:val="none"/>
        </w:rPr>
      </w:pPr>
      <w:bookmarkStart w:id="66" w:name="_Toc223715999"/>
      <w:bookmarkStart w:id="67" w:name="_Toc221423620"/>
      <w:bookmarkStart w:id="68" w:name="_Toc11453"/>
      <w:bookmarkStart w:id="69" w:name="_Toc221374627"/>
      <w:bookmarkStart w:id="70" w:name="_Toc221356888"/>
      <w:bookmarkStart w:id="71" w:name="_Toc71374676"/>
      <w:bookmarkStart w:id="72" w:name="_Toc241404203"/>
      <w:bookmarkStart w:id="73" w:name="_Toc265529384"/>
      <w:bookmarkStart w:id="74" w:name="_Toc221356952"/>
      <w:bookmarkStart w:id="75" w:name="_Toc222114880"/>
      <w:bookmarkStart w:id="76" w:name="_Toc239145355"/>
      <w:r>
        <w:rPr>
          <w:rFonts w:hint="eastAsia" w:ascii="新宋体" w:hAnsi="新宋体" w:eastAsia="新宋体" w:cs="新宋体"/>
          <w:b/>
          <w:bCs/>
          <w:color w:val="auto"/>
          <w:sz w:val="26"/>
          <w:szCs w:val="26"/>
          <w:highlight w:val="none"/>
        </w:rPr>
        <w:t>五、 开标和评标</w:t>
      </w:r>
      <w:bookmarkEnd w:id="66"/>
      <w:bookmarkEnd w:id="67"/>
      <w:bookmarkEnd w:id="68"/>
      <w:bookmarkEnd w:id="69"/>
      <w:bookmarkEnd w:id="70"/>
      <w:bookmarkEnd w:id="71"/>
      <w:bookmarkEnd w:id="72"/>
      <w:bookmarkEnd w:id="73"/>
      <w:bookmarkEnd w:id="74"/>
      <w:bookmarkEnd w:id="75"/>
      <w:bookmarkEnd w:id="76"/>
    </w:p>
    <w:p>
      <w:pPr>
        <w:tabs>
          <w:tab w:val="left" w:pos="540"/>
        </w:tabs>
        <w:spacing w:line="44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19.评标委员会</w:t>
      </w:r>
    </w:p>
    <w:p>
      <w:pPr>
        <w:spacing w:line="440" w:lineRule="exact"/>
        <w:ind w:firstLine="440" w:firstLineChars="20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评标委员会成员由采购人代表和有关技术、经济等方面的专家组成，不少于5人，其中技术、经济等方面的专家成员人数不得少于成员总数的2/3，所有评标专家应在评标专家库中随机抽取产生。评标委员会的成员在评标过程中必须严格遵守《温州市市属国有企业采购管理办法（试行）》及有关法律、法规组织和实施的</w:t>
      </w:r>
      <w:r>
        <w:rPr>
          <w:rFonts w:hint="eastAsia" w:ascii="新宋体" w:hAnsi="新宋体" w:eastAsia="新宋体" w:cs="新宋体"/>
          <w:bCs/>
          <w:color w:val="auto"/>
          <w:sz w:val="22"/>
          <w:szCs w:val="22"/>
          <w:highlight w:val="none"/>
        </w:rPr>
        <w:t>。</w:t>
      </w:r>
    </w:p>
    <w:p>
      <w:pPr>
        <w:tabs>
          <w:tab w:val="left" w:pos="540"/>
        </w:tabs>
        <w:spacing w:line="44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20.评标过程的保密性</w:t>
      </w:r>
    </w:p>
    <w:p>
      <w:pPr>
        <w:spacing w:line="440" w:lineRule="exact"/>
        <w:ind w:firstLine="442" w:firstLineChars="200"/>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开标后直至向中标人授予合同时止，凡与评审有关的资料均不得向投标人及与评标无关人员透露。如果投标人在评标过程中试图向采购人和采购代理机构施加影响，其投标将被拒绝。</w:t>
      </w:r>
    </w:p>
    <w:p>
      <w:pPr>
        <w:tabs>
          <w:tab w:val="left" w:pos="540"/>
        </w:tabs>
        <w:spacing w:line="440" w:lineRule="exact"/>
        <w:rPr>
          <w:rFonts w:ascii="新宋体" w:hAnsi="新宋体" w:eastAsia="新宋体" w:cs="新宋体"/>
          <w:b/>
          <w:bCs/>
          <w:color w:val="auto"/>
          <w:sz w:val="22"/>
          <w:szCs w:val="22"/>
          <w:highlight w:val="none"/>
        </w:rPr>
      </w:pPr>
      <w:r>
        <w:rPr>
          <w:rFonts w:hint="eastAsia" w:ascii="新宋体" w:hAnsi="新宋体" w:eastAsia="新宋体" w:cs="新宋体"/>
          <w:bCs/>
          <w:color w:val="auto"/>
          <w:sz w:val="22"/>
          <w:szCs w:val="22"/>
          <w:highlight w:val="none"/>
        </w:rPr>
        <w:t>21.开标、评标</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21.1采购人按采购文件规定的时间、地点开启投标文件。开标前，首先检查投标文件的密封情况，确认无误后开启投标文件。</w:t>
      </w:r>
    </w:p>
    <w:p>
      <w:pPr>
        <w:numPr>
          <w:ilvl w:val="0"/>
          <w:numId w:val="6"/>
        </w:num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开标时邀请所有投标人代表参加，参加开标的代表应准时出席并签名报到以证明其出席。投标人代表未参加开标会的，事后不得对开标过程和开标结果提出异议。</w:t>
      </w:r>
    </w:p>
    <w:p>
      <w:pPr>
        <w:numPr>
          <w:ilvl w:val="0"/>
          <w:numId w:val="6"/>
        </w:numPr>
        <w:spacing w:line="440" w:lineRule="exact"/>
        <w:ind w:firstLine="399" w:firstLineChars="190"/>
        <w:rPr>
          <w:rFonts w:ascii="新宋体" w:hAnsi="新宋体" w:eastAsia="新宋体" w:cs="新宋体"/>
          <w:color w:val="auto"/>
          <w:kern w:val="0"/>
          <w:sz w:val="22"/>
          <w:szCs w:val="22"/>
          <w:highlight w:val="none"/>
        </w:rPr>
      </w:pPr>
      <w:r>
        <w:rPr>
          <w:rFonts w:hint="eastAsia" w:ascii="新宋体" w:hAnsi="新宋体" w:eastAsia="新宋体" w:cs="新宋体"/>
          <w:bCs/>
          <w:color w:val="auto"/>
          <w:szCs w:val="21"/>
          <w:highlight w:val="none"/>
        </w:rPr>
        <w:t>开标时，应当由投标人推选的代表检查投标文件的密封情况；经确认无误后，由采购代理机构工作人员当众拆封，宣布投标人名称、投标价格和采购文件规定的需要宣布的其他内容。采购代理机构指定专人作好记录，存档备查。</w:t>
      </w:r>
      <w:r>
        <w:rPr>
          <w:rFonts w:hint="eastAsia" w:ascii="新宋体" w:hAnsi="新宋体" w:eastAsia="新宋体" w:cs="新宋体"/>
          <w:color w:val="auto"/>
          <w:kern w:val="0"/>
          <w:sz w:val="22"/>
          <w:szCs w:val="22"/>
          <w:highlight w:val="none"/>
        </w:rPr>
        <w:t>投标人代表应对宣读内容及记录结果当场进行校核和签字确认，如有异议应当场提出，否则视为默许同意。</w:t>
      </w:r>
    </w:p>
    <w:p>
      <w:pPr>
        <w:numPr>
          <w:ilvl w:val="0"/>
          <w:numId w:val="6"/>
        </w:numPr>
        <w:spacing w:line="440" w:lineRule="exact"/>
        <w:ind w:firstLine="399" w:firstLineChars="190"/>
        <w:rPr>
          <w:rFonts w:ascii="新宋体" w:hAnsi="新宋体" w:eastAsia="新宋体" w:cs="新宋体"/>
          <w:color w:val="auto"/>
          <w:kern w:val="0"/>
          <w:sz w:val="22"/>
          <w:szCs w:val="22"/>
          <w:highlight w:val="none"/>
        </w:rPr>
      </w:pPr>
      <w:r>
        <w:rPr>
          <w:rFonts w:hint="eastAsia" w:ascii="新宋体" w:hAnsi="新宋体" w:eastAsia="新宋体" w:cs="新宋体"/>
          <w:bCs/>
          <w:color w:val="auto"/>
          <w:szCs w:val="21"/>
          <w:highlight w:val="none"/>
        </w:rPr>
        <w:t>开标结束后，采购人或采购代理机构依法对投标人的资格进行审查。</w:t>
      </w:r>
      <w:r>
        <w:rPr>
          <w:rFonts w:hint="eastAsia" w:ascii="新宋体" w:hAnsi="新宋体" w:eastAsia="新宋体" w:cs="新宋体"/>
          <w:color w:val="auto"/>
          <w:kern w:val="0"/>
          <w:sz w:val="22"/>
          <w:szCs w:val="22"/>
          <w:highlight w:val="none"/>
        </w:rPr>
        <w:t>审查内容包括但不仅限于随投标文件一同提交的法定代表人授权书（原件）、投标人代表有效身份证件（原件）、企业法人营业执照复印件、投标保证金，以及投标文件所提交证明材料是否能证明符合本项目对合格投标人的实质性要求。通过资格审查视作具备投标资格，审查不合格的投标文件将不进入后续详细评审。</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21.2投标文件的初审（符合性检查）。</w:t>
      </w:r>
    </w:p>
    <w:p>
      <w:pPr>
        <w:spacing w:line="440" w:lineRule="exact"/>
        <w:ind w:firstLine="440" w:firstLineChars="20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评标委员会依据采购文件的规定，从投标文件中的有效性、完整性和对采购文件的响应程度进行审查，以确定是否对采购文件的实质性要求作出响应。</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21.3▲</w:t>
      </w:r>
      <w:r>
        <w:rPr>
          <w:rFonts w:hint="eastAsia" w:ascii="新宋体" w:hAnsi="新宋体" w:eastAsia="新宋体" w:cs="新宋体"/>
          <w:b/>
          <w:bCs/>
          <w:color w:val="auto"/>
          <w:kern w:val="0"/>
          <w:sz w:val="22"/>
          <w:szCs w:val="22"/>
          <w:highlight w:val="none"/>
          <w:u w:val="single"/>
        </w:rPr>
        <w:t>投标人存在下列情况之一的，投标无效</w:t>
      </w:r>
      <w:r>
        <w:rPr>
          <w:rFonts w:hint="eastAsia" w:ascii="新宋体" w:hAnsi="新宋体" w:eastAsia="新宋体" w:cs="新宋体"/>
          <w:color w:val="auto"/>
          <w:kern w:val="0"/>
          <w:sz w:val="22"/>
          <w:szCs w:val="22"/>
          <w:highlight w:val="none"/>
        </w:rPr>
        <w:t>:</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1）未按照采购文件的规定提交投标保证金的；</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2）投标文件正本未按采购文件要求签署、盖章的；</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3）不具备采购文件中规定的资格要求的；</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4）报价超过采购文件中规定的采购预算或投标限价的；</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5）投标文件含有采购人不能接受的附加条件的（包括采购文件中明确要求不得偏离的采购要求，存在负偏离的）；</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6）投标人递交两份或两份以上内容不同的投标文件，未声明哪一份有效的；</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7）存在串标、抬标或弄虚作假情况的；</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8）法律、法规和采购文件规定的其他无效情形（或出现重大偏差）。</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21.4▲</w:t>
      </w:r>
      <w:r>
        <w:rPr>
          <w:rFonts w:hint="eastAsia" w:ascii="新宋体" w:hAnsi="新宋体" w:eastAsia="新宋体" w:cs="新宋体"/>
          <w:b/>
          <w:bCs/>
          <w:color w:val="auto"/>
          <w:kern w:val="0"/>
          <w:sz w:val="22"/>
          <w:szCs w:val="22"/>
          <w:highlight w:val="none"/>
          <w:u w:val="single"/>
        </w:rPr>
        <w:t>评标委员会发现投标文件有下列情形之一的属于重大偏差(评标委员会按少数服从多数原则认定),按照无效投标处理</w:t>
      </w:r>
      <w:r>
        <w:rPr>
          <w:rFonts w:hint="eastAsia" w:ascii="新宋体" w:hAnsi="新宋体" w:eastAsia="新宋体" w:cs="新宋体"/>
          <w:color w:val="auto"/>
          <w:kern w:val="0"/>
          <w:sz w:val="22"/>
          <w:szCs w:val="22"/>
          <w:highlight w:val="none"/>
        </w:rPr>
        <w:t>：</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1）主要内容未按采购文件要求编制或字迹模糊、辨认不清的投标文件；</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2）除21.3条款以外，出现其它明显不符合技术规格、技术标准的要求或不满足采购文件技术规格书中的主要参数对设备质量档次和使用性能产生重大影响的投标文件；</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3）除21.3条款以外，出现投标项目数量与采购文件对比出现较大偏差；商务报价明细表计算错误，出现较大差错；</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4）除21.3条款以外，出现其它不符合采购文件中规定的实质性要求的投标文件，是否为偏离实质性要求由评标委员会认定。</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21.5▲</w:t>
      </w:r>
      <w:r>
        <w:rPr>
          <w:rFonts w:hint="eastAsia" w:ascii="新宋体" w:hAnsi="新宋体" w:eastAsia="新宋体" w:cs="新宋体"/>
          <w:b/>
          <w:bCs/>
          <w:color w:val="auto"/>
          <w:kern w:val="0"/>
          <w:sz w:val="22"/>
          <w:szCs w:val="22"/>
          <w:highlight w:val="none"/>
          <w:u w:val="single"/>
        </w:rPr>
        <w:t>有下列情形之一的，视为投标人串通投标，其投标无效</w:t>
      </w:r>
      <w:r>
        <w:rPr>
          <w:rFonts w:hint="eastAsia" w:ascii="新宋体" w:hAnsi="新宋体" w:eastAsia="新宋体" w:cs="新宋体"/>
          <w:color w:val="auto"/>
          <w:kern w:val="0"/>
          <w:sz w:val="22"/>
          <w:szCs w:val="22"/>
          <w:highlight w:val="none"/>
        </w:rPr>
        <w:t>：</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1）不同投标人的投标文件由同一单位或者个人编制；</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2）不同投标人委托同一单位或者个人办理投标事宜；</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3）不同投标人的投标文件载明的项目管理成员或者联系人员为同一人；</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4）不同投标人的投标文件异常一致或者投标报价呈规律性差异；</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5）不同投标人的投标文件相互混装；</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6）不同投标人的投标保证金从同一单位或者个人的账户转出。</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21.6评标委员会对各投标人的商务报价进行核查时，若发现投标报价内容不清楚可要求投标人书面澄清，计算上的错误，可按下面方法修正：</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投标文件的大写金额与小写金额不一致时以大写金额为准。大写金额有明显文字表述错误而造成歧义的，则以小写金额为准。总价金额与按单价汇总金额不一致的，以单价金额计算结果为准，单价金额小数点有明显错位的，应以总价为准，并修正单价。</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2）如果投标人不接受对其价格错误进行修正，其投标将被否决。</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21.7在详细评标之前，评标委员会要审查每份投标文件是否实质上响应了采购文件的要求。实质上响应的投标应该是与采购文件要求的全部条款、条件和规格基本相符。没有重大偏离。评标委员会决定投标的响应性只根据投标文件本身的内容，而不寻求外部的证据。</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21.8实质上没有响应采购文件要求的投标将被拒绝，投标人不得通过修正或撤消不合要求的偏离或保留从而使其投标成为实质上响应的投标。</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21.9▲</w:t>
      </w:r>
      <w:r>
        <w:rPr>
          <w:rFonts w:hint="eastAsia" w:ascii="新宋体" w:hAnsi="新宋体" w:eastAsia="新宋体" w:cs="新宋体"/>
          <w:b/>
          <w:bCs/>
          <w:color w:val="auto"/>
          <w:kern w:val="0"/>
          <w:sz w:val="22"/>
          <w:szCs w:val="22"/>
          <w:highlight w:val="none"/>
          <w:u w:val="singl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新宋体" w:hAnsi="新宋体" w:eastAsia="新宋体" w:cs="新宋体"/>
          <w:color w:val="auto"/>
          <w:kern w:val="0"/>
          <w:sz w:val="22"/>
          <w:szCs w:val="22"/>
          <w:highlight w:val="none"/>
        </w:rPr>
        <w:t>。</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21.10评标委员会对审查合格的投标文件按照采购文件中制订的评标方法进行综合评定打分。</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21.11评标过程中遇到特殊情况，由评标委员会遵循公开、公正原则，采取投票方式按照少数服从多数原则决定。</w:t>
      </w:r>
    </w:p>
    <w:p>
      <w:pPr>
        <w:tabs>
          <w:tab w:val="left" w:pos="540"/>
        </w:tabs>
        <w:spacing w:line="440" w:lineRule="exact"/>
        <w:rPr>
          <w:rFonts w:ascii="新宋体" w:hAnsi="新宋体" w:eastAsia="新宋体" w:cs="新宋体"/>
          <w:b/>
          <w:bCs/>
          <w:color w:val="auto"/>
          <w:sz w:val="22"/>
          <w:szCs w:val="22"/>
          <w:highlight w:val="none"/>
          <w:u w:val="single"/>
        </w:rPr>
      </w:pPr>
      <w:r>
        <w:rPr>
          <w:rFonts w:hint="eastAsia" w:ascii="新宋体" w:hAnsi="新宋体" w:eastAsia="新宋体" w:cs="新宋体"/>
          <w:b/>
          <w:bCs/>
          <w:color w:val="auto"/>
          <w:sz w:val="22"/>
          <w:szCs w:val="22"/>
          <w:highlight w:val="none"/>
        </w:rPr>
        <w:t>21.12</w:t>
      </w:r>
      <w:r>
        <w:rPr>
          <w:rFonts w:hint="eastAsia" w:ascii="新宋体" w:hAnsi="新宋体" w:eastAsia="新宋体" w:cs="新宋体"/>
          <w:color w:val="auto"/>
          <w:kern w:val="0"/>
          <w:sz w:val="22"/>
          <w:szCs w:val="22"/>
          <w:highlight w:val="none"/>
        </w:rPr>
        <w:t>▲</w:t>
      </w:r>
      <w:r>
        <w:rPr>
          <w:rFonts w:hint="eastAsia" w:ascii="新宋体" w:hAnsi="新宋体" w:eastAsia="新宋体" w:cs="新宋体"/>
          <w:b/>
          <w:bCs/>
          <w:color w:val="auto"/>
          <w:sz w:val="22"/>
          <w:szCs w:val="22"/>
          <w:highlight w:val="none"/>
          <w:u w:val="single"/>
        </w:rPr>
        <w:t>投标截止时间止及评审期间，出现有效投标人不足3家的，本次采购按流（废）标处理，重新组织采购。</w:t>
      </w:r>
    </w:p>
    <w:p>
      <w:pPr>
        <w:tabs>
          <w:tab w:val="left" w:pos="540"/>
        </w:tabs>
        <w:spacing w:line="44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22.投标文件的澄清</w:t>
      </w:r>
    </w:p>
    <w:p>
      <w:pPr>
        <w:tabs>
          <w:tab w:val="left" w:pos="540"/>
        </w:tabs>
        <w:spacing w:line="440" w:lineRule="exact"/>
        <w:rPr>
          <w:rFonts w:ascii="新宋体" w:hAnsi="新宋体" w:eastAsia="新宋体" w:cs="新宋体"/>
          <w:b/>
          <w:color w:val="auto"/>
          <w:sz w:val="22"/>
          <w:szCs w:val="22"/>
          <w:highlight w:val="none"/>
        </w:rPr>
      </w:pPr>
      <w:r>
        <w:rPr>
          <w:rFonts w:hint="eastAsia" w:ascii="新宋体" w:hAnsi="新宋体" w:eastAsia="新宋体" w:cs="新宋体"/>
          <w:bCs/>
          <w:color w:val="auto"/>
          <w:sz w:val="22"/>
          <w:szCs w:val="22"/>
          <w:highlight w:val="none"/>
        </w:rPr>
        <w:t>22.1 在评标期间，评标委员会可以书面方式要求投标人对投标文件中含义不明确、对同类问题表述不一致或者有明显文字和计算错误的内容作必要的澄清、说明或补正。澄清、说明或补正应以书面形式并由授权代表签署，但澄清内容不得超出投标文件的范围或者改变投标文件的实质性内容。拒不按要求对其投标文件进行澄清，说明或补正的投标人，评标委员会可以否决其投标。</w:t>
      </w:r>
    </w:p>
    <w:p>
      <w:pPr>
        <w:tabs>
          <w:tab w:val="left" w:pos="540"/>
        </w:tabs>
        <w:spacing w:line="44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22.2 经澄清后，若偏差仍存在，且不可接受，投标人则被认为是“没有实质性响应采购文件要求”，其投标不进入下一步评审。</w:t>
      </w:r>
    </w:p>
    <w:p>
      <w:pPr>
        <w:spacing w:line="440" w:lineRule="exact"/>
        <w:rPr>
          <w:rFonts w:ascii="新宋体" w:hAnsi="新宋体" w:eastAsia="新宋体" w:cs="新宋体"/>
          <w:color w:val="auto"/>
          <w:sz w:val="22"/>
          <w:szCs w:val="22"/>
          <w:highlight w:val="none"/>
        </w:rPr>
      </w:pPr>
      <w:bookmarkStart w:id="77" w:name="_Toc222114881"/>
      <w:bookmarkStart w:id="78" w:name="_Toc221423621"/>
      <w:bookmarkStart w:id="79" w:name="_Toc265529385"/>
      <w:bookmarkStart w:id="80" w:name="_Toc221374628"/>
      <w:bookmarkStart w:id="81" w:name="_Toc241404204"/>
      <w:bookmarkStart w:id="82" w:name="_Toc223716000"/>
      <w:bookmarkStart w:id="83" w:name="_Toc239145356"/>
      <w:bookmarkStart w:id="84" w:name="_Toc221356953"/>
      <w:bookmarkStart w:id="85" w:name="_Toc221356889"/>
      <w:r>
        <w:rPr>
          <w:rFonts w:hint="eastAsia" w:ascii="新宋体" w:hAnsi="新宋体" w:eastAsia="新宋体" w:cs="新宋体"/>
          <w:bCs/>
          <w:color w:val="auto"/>
          <w:sz w:val="22"/>
          <w:szCs w:val="22"/>
          <w:highlight w:val="none"/>
        </w:rPr>
        <w:t>23.确定中标候选人</w:t>
      </w:r>
    </w:p>
    <w:p>
      <w:pPr>
        <w:tabs>
          <w:tab w:val="left" w:pos="540"/>
        </w:tabs>
        <w:spacing w:line="44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23.1 本次采购由评标委员会推荐中标候选人，采购人根据评标委员会的推荐结果进行最终确认。</w:t>
      </w:r>
    </w:p>
    <w:p>
      <w:pPr>
        <w:tabs>
          <w:tab w:val="left" w:pos="540"/>
        </w:tabs>
        <w:spacing w:line="44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23.2 评标委员会依据法律、法规及采购文件有关规定在有效标中按投标人的最终得分（即技术分与商务分之和）高低进行排序，得分前二名的投标人推荐为中标候选人与备选中标人（得分相同投标报价低的排序第一；得分且投标报价相同的，由评标委员会成员抽签决定排序）。</w:t>
      </w:r>
    </w:p>
    <w:p>
      <w:pPr>
        <w:tabs>
          <w:tab w:val="left" w:pos="540"/>
        </w:tabs>
        <w:spacing w:line="440" w:lineRule="exac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 xml:space="preserve">23.3 </w:t>
      </w:r>
      <w:r>
        <w:rPr>
          <w:rFonts w:hint="eastAsia" w:ascii="新宋体" w:hAnsi="新宋体" w:eastAsia="新宋体" w:cs="新宋体"/>
          <w:color w:val="auto"/>
          <w:kern w:val="0"/>
          <w:sz w:val="22"/>
          <w:szCs w:val="22"/>
          <w:highlight w:val="none"/>
          <w:lang w:val="zh-CN"/>
        </w:rPr>
        <w:t>若出现以下情形之一，采购人可视具体情况确定是否由备选中标人为中标人或重新组织采购：</w:t>
      </w:r>
    </w:p>
    <w:p>
      <w:pPr>
        <w:tabs>
          <w:tab w:val="left" w:pos="540"/>
        </w:tabs>
        <w:autoSpaceDE w:val="0"/>
        <w:autoSpaceDN w:val="0"/>
        <w:adjustRightInd w:val="0"/>
        <w:spacing w:line="440" w:lineRule="atLeast"/>
        <w:ind w:firstLine="440" w:firstLineChars="200"/>
        <w:rPr>
          <w:rFonts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1）中标候选人放弃中标资格；</w:t>
      </w:r>
    </w:p>
    <w:p>
      <w:pPr>
        <w:tabs>
          <w:tab w:val="left" w:pos="540"/>
        </w:tabs>
        <w:autoSpaceDE w:val="0"/>
        <w:autoSpaceDN w:val="0"/>
        <w:adjustRightInd w:val="0"/>
        <w:spacing w:line="440" w:lineRule="atLeast"/>
        <w:ind w:firstLine="440" w:firstLineChars="200"/>
        <w:rPr>
          <w:rFonts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2）中标候选人因不可抗力提出不能履行合同；</w:t>
      </w:r>
    </w:p>
    <w:p>
      <w:pPr>
        <w:tabs>
          <w:tab w:val="left" w:pos="540"/>
        </w:tabs>
        <w:autoSpaceDE w:val="0"/>
        <w:autoSpaceDN w:val="0"/>
        <w:adjustRightInd w:val="0"/>
        <w:spacing w:line="440" w:lineRule="atLeast"/>
        <w:ind w:firstLine="440" w:firstLineChars="200"/>
        <w:rPr>
          <w:rFonts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rPr>
        <w:t>3</w:t>
      </w:r>
      <w:r>
        <w:rPr>
          <w:rFonts w:hint="eastAsia" w:ascii="新宋体" w:hAnsi="新宋体" w:eastAsia="新宋体" w:cs="新宋体"/>
          <w:color w:val="auto"/>
          <w:kern w:val="0"/>
          <w:sz w:val="22"/>
          <w:szCs w:val="22"/>
          <w:highlight w:val="none"/>
          <w:lang w:val="zh-CN"/>
        </w:rPr>
        <w:t>）中标候选人未能在规定时间内与采购单位签订合同；</w:t>
      </w:r>
    </w:p>
    <w:p>
      <w:pPr>
        <w:tabs>
          <w:tab w:val="left" w:pos="540"/>
        </w:tabs>
        <w:autoSpaceDE w:val="0"/>
        <w:autoSpaceDN w:val="0"/>
        <w:adjustRightInd w:val="0"/>
        <w:spacing w:line="440" w:lineRule="atLeast"/>
        <w:ind w:firstLine="440" w:firstLineChars="200"/>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4</w:t>
      </w:r>
      <w:r>
        <w:rPr>
          <w:rFonts w:hint="eastAsia" w:ascii="新宋体" w:hAnsi="新宋体" w:eastAsia="新宋体" w:cs="新宋体"/>
          <w:color w:val="auto"/>
          <w:kern w:val="0"/>
          <w:sz w:val="22"/>
          <w:szCs w:val="22"/>
          <w:highlight w:val="none"/>
          <w:lang w:val="zh-CN"/>
        </w:rPr>
        <w:t>）经质疑，采购人审查后，中标候选人确实在本次采购活动中存在违法违规行为或其他原因使质疑成立的。</w:t>
      </w:r>
    </w:p>
    <w:p>
      <w:pPr>
        <w:tabs>
          <w:tab w:val="left" w:pos="540"/>
        </w:tabs>
        <w:spacing w:line="44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23.4 采购人、采购代理机构及评标委员会不向落标的投标人解释落标原因，也不公布评标过程中的相关细节。</w:t>
      </w:r>
    </w:p>
    <w:p>
      <w:pPr>
        <w:spacing w:line="44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24.评标细则详见“评标原则及方法”。</w:t>
      </w:r>
    </w:p>
    <w:p>
      <w:pPr>
        <w:spacing w:before="100" w:beforeAutospacing="1" w:after="100" w:afterAutospacing="1" w:line="440" w:lineRule="exact"/>
        <w:ind w:left="-6"/>
        <w:jc w:val="center"/>
        <w:outlineLvl w:val="0"/>
        <w:rPr>
          <w:rFonts w:ascii="新宋体" w:hAnsi="新宋体" w:eastAsia="新宋体" w:cs="新宋体"/>
          <w:b/>
          <w:bCs/>
          <w:color w:val="auto"/>
          <w:sz w:val="26"/>
          <w:szCs w:val="26"/>
          <w:highlight w:val="none"/>
        </w:rPr>
      </w:pPr>
      <w:bookmarkStart w:id="86" w:name="_Toc14427"/>
      <w:bookmarkStart w:id="87" w:name="_Toc71374677"/>
      <w:r>
        <w:rPr>
          <w:rFonts w:hint="eastAsia" w:ascii="新宋体" w:hAnsi="新宋体" w:eastAsia="新宋体" w:cs="新宋体"/>
          <w:b/>
          <w:bCs/>
          <w:color w:val="auto"/>
          <w:sz w:val="26"/>
          <w:szCs w:val="26"/>
          <w:highlight w:val="none"/>
        </w:rPr>
        <w:t>六、 授予合同</w:t>
      </w:r>
      <w:bookmarkEnd w:id="77"/>
      <w:bookmarkEnd w:id="78"/>
      <w:bookmarkEnd w:id="79"/>
      <w:bookmarkEnd w:id="80"/>
      <w:bookmarkEnd w:id="81"/>
      <w:bookmarkEnd w:id="82"/>
      <w:bookmarkEnd w:id="83"/>
      <w:bookmarkEnd w:id="84"/>
      <w:bookmarkEnd w:id="85"/>
      <w:bookmarkEnd w:id="86"/>
      <w:bookmarkEnd w:id="87"/>
    </w:p>
    <w:p>
      <w:pPr>
        <w:spacing w:line="44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25.确定中标人</w:t>
      </w:r>
    </w:p>
    <w:p>
      <w:pPr>
        <w:tabs>
          <w:tab w:val="left" w:pos="640"/>
        </w:tabs>
        <w:spacing w:line="46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highlight w:val="none"/>
        </w:rPr>
        <w:t>25.1 采购人自收到评标报告之日起5个工作日内，在评标报告确定的中标候选人名单中按顺序确定中标人。</w:t>
      </w:r>
    </w:p>
    <w:p>
      <w:pPr>
        <w:tabs>
          <w:tab w:val="left" w:pos="640"/>
        </w:tabs>
        <w:spacing w:line="46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25.2 中标人确定之日起2个工作日内，在政采云平台、温州市国有企业采购平台以及集团网站上公告中标结果，中标公告期限为1个工作日。</w:t>
      </w:r>
    </w:p>
    <w:p>
      <w:pPr>
        <w:tabs>
          <w:tab w:val="left" w:pos="640"/>
        </w:tabs>
        <w:spacing w:line="46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25.3 在公告中标结果的同时，采购人向中标人发出中标通知书。</w:t>
      </w:r>
    </w:p>
    <w:p>
      <w:pPr>
        <w:tabs>
          <w:tab w:val="left" w:pos="640"/>
        </w:tabs>
        <w:spacing w:line="46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25.4 各投标人对评标结果如有异议，可在中标结果公示之日起7个工作日内以书面形式向采购人进行署名投诉或提出质疑，但需对投诉或质疑内容的真实性承担法律责任。</w:t>
      </w:r>
    </w:p>
    <w:p>
      <w:pPr>
        <w:spacing w:line="440" w:lineRule="exact"/>
        <w:rPr>
          <w:rFonts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26.签订合同</w:t>
      </w:r>
    </w:p>
    <w:p>
      <w:pPr>
        <w:tabs>
          <w:tab w:val="left" w:pos="6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26.1 公示期结束后，中标投标人须在5个工作日内主动联系采购人或采购机构领取中标通知书。中标投标人应当在中标通知书发出之日起30日内与采购人签订合同。中标投标人未经采购人许可，在规定时间内未到采购人处与采购人签订合同，则视为拒签合同。</w:t>
      </w:r>
    </w:p>
    <w:p>
      <w:pPr>
        <w:tabs>
          <w:tab w:val="left" w:pos="6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26.2 采购文件、中标投标人的投标文件及投标修改文件、评标过程中有关澄清文件及经双方签字的询标纪要（承诺）和中标通知书均作为合同附件。</w:t>
      </w:r>
    </w:p>
    <w:p>
      <w:pPr>
        <w:tabs>
          <w:tab w:val="left" w:pos="6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26.3 拒签合同的责任</w:t>
      </w:r>
    </w:p>
    <w:p>
      <w:pPr>
        <w:tabs>
          <w:tab w:val="left" w:pos="640"/>
        </w:tabs>
        <w:spacing w:line="460" w:lineRule="exact"/>
        <w:rPr>
          <w:rFonts w:ascii="新宋体" w:hAnsi="新宋体" w:eastAsia="新宋体" w:cs="新宋体"/>
          <w:b/>
          <w:bCs/>
          <w:color w:val="auto"/>
          <w:sz w:val="22"/>
          <w:szCs w:val="22"/>
          <w:highlight w:val="none"/>
          <w:u w:val="single"/>
        </w:rPr>
      </w:pPr>
      <w:r>
        <w:rPr>
          <w:rFonts w:hint="eastAsia" w:ascii="新宋体" w:hAnsi="新宋体" w:eastAsia="新宋体" w:cs="新宋体"/>
          <w:color w:val="auto"/>
          <w:sz w:val="22"/>
          <w:szCs w:val="22"/>
          <w:highlight w:val="none"/>
        </w:rPr>
        <w:t>26.4 中标投标人在规定时间内（30日历天）借故否认已经承诺的条件、拒签合同者，以投标违约处理，其投标保证金不予退回，并赔偿采购人由此造成的直接经济损失；采购人重新组织采购的，所需费用由原中标投标人承担。</w:t>
      </w:r>
    </w:p>
    <w:p>
      <w:pPr>
        <w:spacing w:line="440" w:lineRule="exac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27.采购代理服务费</w:t>
      </w:r>
    </w:p>
    <w:p>
      <w:pPr>
        <w:tabs>
          <w:tab w:val="left" w:pos="640"/>
        </w:tabs>
        <w:spacing w:line="440" w:lineRule="exact"/>
        <w:rPr>
          <w:rFonts w:ascii="新宋体" w:hAnsi="新宋体" w:eastAsia="新宋体" w:cs="新宋体"/>
          <w:color w:val="auto"/>
          <w:spacing w:val="6"/>
          <w:sz w:val="22"/>
          <w:szCs w:val="22"/>
          <w:highlight w:val="none"/>
        </w:rPr>
      </w:pPr>
      <w:r>
        <w:rPr>
          <w:rFonts w:hint="eastAsia" w:ascii="新宋体" w:hAnsi="新宋体" w:eastAsia="新宋体" w:cs="新宋体"/>
          <w:color w:val="auto"/>
          <w:sz w:val="22"/>
          <w:szCs w:val="22"/>
          <w:highlight w:val="none"/>
        </w:rPr>
        <w:t>27.1本项目采购代理服务费按照人民币</w:t>
      </w:r>
      <w:r>
        <w:rPr>
          <w:rFonts w:hint="eastAsia" w:ascii="新宋体" w:hAnsi="新宋体" w:eastAsia="新宋体" w:cs="新宋体"/>
          <w:b/>
          <w:bCs/>
          <w:color w:val="auto"/>
          <w:sz w:val="22"/>
          <w:szCs w:val="22"/>
          <w:highlight w:val="none"/>
          <w:lang w:val="en-US" w:eastAsia="zh-CN"/>
        </w:rPr>
        <w:t>壹万壹仟</w:t>
      </w:r>
      <w:r>
        <w:rPr>
          <w:rFonts w:hint="eastAsia" w:ascii="新宋体" w:hAnsi="新宋体" w:eastAsia="新宋体" w:cs="新宋体"/>
          <w:b/>
          <w:bCs/>
          <w:color w:val="auto"/>
          <w:sz w:val="22"/>
          <w:szCs w:val="22"/>
          <w:highlight w:val="none"/>
        </w:rPr>
        <w:t>元整</w:t>
      </w:r>
      <w:r>
        <w:rPr>
          <w:rFonts w:hint="eastAsia" w:ascii="新宋体" w:hAnsi="新宋体" w:eastAsia="新宋体" w:cs="新宋体"/>
          <w:color w:val="auto"/>
          <w:sz w:val="22"/>
          <w:szCs w:val="22"/>
          <w:highlight w:val="none"/>
        </w:rPr>
        <w:t>收取，该服务费须计入投标报价，由中标供应商在领取中标（成交）通知书之前支付给采购代理机构。</w:t>
      </w:r>
    </w:p>
    <w:p>
      <w:pPr>
        <w:tabs>
          <w:tab w:val="left" w:pos="640"/>
        </w:tabs>
        <w:spacing w:line="440" w:lineRule="exact"/>
        <w:rPr>
          <w:rFonts w:ascii="新宋体" w:hAnsi="新宋体" w:eastAsia="新宋体" w:cs="新宋体"/>
          <w:color w:val="auto"/>
          <w:spacing w:val="6"/>
          <w:sz w:val="22"/>
          <w:szCs w:val="22"/>
          <w:highlight w:val="none"/>
        </w:rPr>
      </w:pPr>
      <w:r>
        <w:rPr>
          <w:rFonts w:hint="eastAsia" w:ascii="新宋体" w:hAnsi="新宋体" w:eastAsia="新宋体" w:cs="新宋体"/>
          <w:color w:val="auto"/>
          <w:spacing w:val="6"/>
          <w:sz w:val="22"/>
          <w:szCs w:val="22"/>
          <w:highlight w:val="none"/>
        </w:rPr>
        <w:t>27.2 采购代理服务费可以是现金、支票或汇票。</w:t>
      </w:r>
    </w:p>
    <w:p>
      <w:pPr>
        <w:tabs>
          <w:tab w:val="left" w:pos="640"/>
        </w:tabs>
        <w:spacing w:line="44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27.3户名：温州市智信招标代理有限公司</w:t>
      </w:r>
    </w:p>
    <w:p>
      <w:pPr>
        <w:tabs>
          <w:tab w:val="left" w:pos="640"/>
        </w:tabs>
        <w:spacing w:line="440" w:lineRule="exact"/>
        <w:ind w:firstLine="550" w:firstLineChars="2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账号： 333504140018800009390</w:t>
      </w:r>
    </w:p>
    <w:p>
      <w:pPr>
        <w:tabs>
          <w:tab w:val="left" w:pos="640"/>
        </w:tabs>
        <w:spacing w:line="440" w:lineRule="exact"/>
        <w:ind w:firstLine="550" w:firstLineChars="250"/>
        <w:rPr>
          <w:rFonts w:ascii="新宋体" w:hAnsi="新宋体" w:eastAsia="新宋体" w:cs="新宋体"/>
          <w:color w:val="auto"/>
          <w:spacing w:val="6"/>
          <w:sz w:val="22"/>
          <w:szCs w:val="22"/>
          <w:highlight w:val="none"/>
        </w:rPr>
      </w:pPr>
      <w:r>
        <w:rPr>
          <w:rFonts w:hint="eastAsia" w:ascii="新宋体" w:hAnsi="新宋体" w:eastAsia="新宋体" w:cs="新宋体"/>
          <w:color w:val="auto"/>
          <w:sz w:val="22"/>
          <w:szCs w:val="22"/>
          <w:highlight w:val="none"/>
        </w:rPr>
        <w:t>开户行：交通银行温州分行瓯海支行</w:t>
      </w:r>
    </w:p>
    <w:p>
      <w:pPr>
        <w:pStyle w:val="3"/>
        <w:rPr>
          <w:rFonts w:ascii="新宋体" w:hAnsi="新宋体" w:eastAsia="新宋体" w:cs="新宋体"/>
          <w:color w:val="auto"/>
          <w:sz w:val="36"/>
          <w:szCs w:val="36"/>
          <w:highlight w:val="none"/>
        </w:rPr>
      </w:pPr>
      <w:r>
        <w:rPr>
          <w:rFonts w:hint="eastAsia" w:ascii="新宋体" w:hAnsi="新宋体" w:eastAsia="新宋体" w:cs="新宋体"/>
          <w:color w:val="auto"/>
          <w:sz w:val="22"/>
          <w:szCs w:val="22"/>
          <w:highlight w:val="none"/>
        </w:rPr>
        <w:br w:type="page"/>
      </w:r>
      <w:bookmarkStart w:id="88" w:name="_Toc223716001"/>
      <w:bookmarkStart w:id="89" w:name="_Toc241404205"/>
      <w:bookmarkStart w:id="90" w:name="_Toc221374629"/>
      <w:bookmarkStart w:id="91" w:name="_Toc222114882"/>
      <w:bookmarkStart w:id="92" w:name="_Toc221356890"/>
      <w:bookmarkStart w:id="93" w:name="_Toc221356954"/>
      <w:bookmarkStart w:id="94" w:name="_Toc265529386"/>
      <w:bookmarkStart w:id="95" w:name="_Toc221423622"/>
      <w:bookmarkStart w:id="96" w:name="_Toc239145357"/>
      <w:r>
        <w:rPr>
          <w:rFonts w:hint="eastAsia" w:ascii="新宋体" w:hAnsi="新宋体" w:eastAsia="新宋体" w:cs="新宋体"/>
          <w:color w:val="auto"/>
          <w:sz w:val="22"/>
          <w:szCs w:val="22"/>
          <w:highlight w:val="none"/>
        </w:rPr>
        <w:t xml:space="preserve">          </w:t>
      </w:r>
      <w:bookmarkStart w:id="97" w:name="_Toc5826"/>
      <w:bookmarkStart w:id="98" w:name="_Toc71374678"/>
      <w:r>
        <w:rPr>
          <w:rFonts w:hint="eastAsia" w:ascii="新宋体" w:hAnsi="新宋体" w:eastAsia="新宋体" w:cs="新宋体"/>
          <w:color w:val="auto"/>
          <w:sz w:val="36"/>
          <w:szCs w:val="36"/>
          <w:highlight w:val="none"/>
        </w:rPr>
        <w:t xml:space="preserve">第二部分   </w:t>
      </w:r>
      <w:bookmarkEnd w:id="88"/>
      <w:bookmarkEnd w:id="89"/>
      <w:bookmarkEnd w:id="90"/>
      <w:bookmarkEnd w:id="91"/>
      <w:bookmarkEnd w:id="92"/>
      <w:bookmarkEnd w:id="93"/>
      <w:bookmarkEnd w:id="94"/>
      <w:bookmarkEnd w:id="95"/>
      <w:bookmarkEnd w:id="96"/>
      <w:r>
        <w:rPr>
          <w:rFonts w:hint="eastAsia" w:ascii="新宋体" w:hAnsi="新宋体" w:eastAsia="新宋体" w:cs="新宋体"/>
          <w:color w:val="auto"/>
          <w:sz w:val="36"/>
          <w:szCs w:val="36"/>
          <w:highlight w:val="none"/>
        </w:rPr>
        <w:t>合同格式及合同主要条款</w:t>
      </w:r>
      <w:bookmarkEnd w:id="97"/>
      <w:bookmarkEnd w:id="98"/>
    </w:p>
    <w:p>
      <w:pPr>
        <w:spacing w:line="360" w:lineRule="auto"/>
        <w:ind w:firstLine="440" w:firstLineChars="200"/>
        <w:rPr>
          <w:rFonts w:ascii="微软雅黑" w:hAnsi="宋体"/>
          <w:color w:val="auto"/>
          <w:kern w:val="0"/>
          <w:sz w:val="22"/>
          <w:szCs w:val="22"/>
          <w:highlight w:val="none"/>
        </w:rPr>
      </w:pPr>
    </w:p>
    <w:p>
      <w:pPr>
        <w:spacing w:line="360" w:lineRule="auto"/>
        <w:ind w:firstLine="440" w:firstLineChars="200"/>
        <w:rPr>
          <w:rFonts w:ascii="微软雅黑" w:hAnsi="宋体"/>
          <w:color w:val="auto"/>
          <w:kern w:val="0"/>
          <w:sz w:val="22"/>
          <w:szCs w:val="22"/>
          <w:highlight w:val="none"/>
        </w:rPr>
      </w:pPr>
      <w:r>
        <w:rPr>
          <w:rFonts w:hint="eastAsia" w:ascii="微软雅黑" w:hAnsi="宋体"/>
          <w:color w:val="auto"/>
          <w:kern w:val="0"/>
          <w:sz w:val="22"/>
          <w:szCs w:val="22"/>
          <w:highlight w:val="none"/>
        </w:rPr>
        <w:t>说明：本合同签订依据：《中华人民共和国民法典》，以下部分条款不一定和最终合同条款内容完全一致，采购人有权进行适当调整，但此调整不能与本合同（范本）内容相悖。</w:t>
      </w:r>
    </w:p>
    <w:p>
      <w:pPr>
        <w:rPr>
          <w:rFonts w:ascii="宋体" w:hAnsi="宋体" w:cs="宋体"/>
          <w:color w:val="auto"/>
          <w:kern w:val="1"/>
          <w:highlight w:val="none"/>
        </w:rPr>
      </w:pPr>
      <w:bookmarkStart w:id="99" w:name="_Toc71374679"/>
    </w:p>
    <w:p>
      <w:pPr>
        <w:spacing w:line="440" w:lineRule="exact"/>
        <w:jc w:val="center"/>
        <w:rPr>
          <w:rFonts w:ascii="宋体" w:hAnsi="宋体" w:cs="宋体"/>
          <w:color w:val="auto"/>
          <w:kern w:val="1"/>
          <w:sz w:val="44"/>
          <w:highlight w:val="none"/>
        </w:rPr>
      </w:pPr>
    </w:p>
    <w:p>
      <w:pPr>
        <w:spacing w:line="500" w:lineRule="atLeast"/>
        <w:jc w:val="center"/>
        <w:rPr>
          <w:rFonts w:ascii="宋体" w:hAnsi="宋体" w:cs="宋体"/>
          <w:color w:val="auto"/>
          <w:kern w:val="1"/>
          <w:sz w:val="24"/>
          <w:highlight w:val="none"/>
        </w:rPr>
      </w:pPr>
      <w:r>
        <w:rPr>
          <w:rFonts w:ascii="宋体" w:hAnsi="宋体" w:cs="宋体"/>
          <w:color w:val="auto"/>
          <w:kern w:val="1"/>
          <w:sz w:val="24"/>
          <w:highlight w:val="none"/>
        </w:rPr>
        <w:t>中标合同</w:t>
      </w:r>
    </w:p>
    <w:p>
      <w:pPr>
        <w:spacing w:line="500" w:lineRule="atLeast"/>
        <w:jc w:val="center"/>
        <w:rPr>
          <w:rFonts w:ascii="宋体" w:hAnsi="宋体" w:cs="宋体"/>
          <w:color w:val="auto"/>
          <w:kern w:val="1"/>
          <w:sz w:val="24"/>
          <w:highlight w:val="none"/>
        </w:rPr>
      </w:pPr>
    </w:p>
    <w:p>
      <w:pPr>
        <w:spacing w:line="580" w:lineRule="atLeast"/>
        <w:rPr>
          <w:rFonts w:ascii="宋体" w:hAnsi="宋体" w:cs="宋体"/>
          <w:color w:val="auto"/>
          <w:kern w:val="1"/>
          <w:sz w:val="24"/>
          <w:highlight w:val="none"/>
        </w:rPr>
      </w:pPr>
      <w:r>
        <w:rPr>
          <w:rFonts w:ascii="宋体" w:hAnsi="宋体" w:cs="宋体"/>
          <w:color w:val="auto"/>
          <w:kern w:val="1"/>
          <w:sz w:val="24"/>
          <w:highlight w:val="none"/>
        </w:rPr>
        <w:tab/>
      </w:r>
      <w:r>
        <w:rPr>
          <w:rFonts w:ascii="宋体" w:hAnsi="宋体" w:cs="宋体"/>
          <w:color w:val="auto"/>
          <w:kern w:val="1"/>
          <w:sz w:val="24"/>
          <w:highlight w:val="none"/>
        </w:rPr>
        <w:tab/>
      </w:r>
      <w:r>
        <w:rPr>
          <w:rFonts w:ascii="宋体" w:hAnsi="宋体" w:cs="宋体"/>
          <w:color w:val="auto"/>
          <w:kern w:val="1"/>
          <w:sz w:val="24"/>
          <w:highlight w:val="none"/>
        </w:rPr>
        <w:tab/>
      </w:r>
      <w:r>
        <w:rPr>
          <w:rFonts w:ascii="宋体" w:hAnsi="宋体" w:cs="宋体"/>
          <w:color w:val="auto"/>
          <w:kern w:val="1"/>
          <w:sz w:val="24"/>
          <w:highlight w:val="none"/>
        </w:rPr>
        <w:tab/>
      </w:r>
      <w:r>
        <w:rPr>
          <w:rFonts w:ascii="宋体" w:hAnsi="宋体" w:cs="宋体"/>
          <w:color w:val="auto"/>
          <w:kern w:val="1"/>
          <w:sz w:val="24"/>
          <w:highlight w:val="none"/>
        </w:rPr>
        <w:t>项目名称：</w:t>
      </w:r>
      <w:r>
        <w:rPr>
          <w:rFonts w:ascii="宋体" w:hAnsi="宋体" w:cs="宋体"/>
          <w:color w:val="auto"/>
          <w:kern w:val="1"/>
          <w:sz w:val="24"/>
          <w:highlight w:val="none"/>
          <w:u w:val="single"/>
        </w:rPr>
        <w:t xml:space="preserve">                      </w:t>
      </w:r>
    </w:p>
    <w:p>
      <w:pPr>
        <w:spacing w:line="580" w:lineRule="atLeast"/>
        <w:rPr>
          <w:rFonts w:ascii="宋体" w:hAnsi="宋体" w:cs="宋体"/>
          <w:color w:val="auto"/>
          <w:kern w:val="1"/>
          <w:sz w:val="24"/>
          <w:highlight w:val="none"/>
        </w:rPr>
      </w:pPr>
      <w:r>
        <w:rPr>
          <w:rFonts w:ascii="宋体" w:hAnsi="宋体" w:cs="宋体"/>
          <w:color w:val="auto"/>
          <w:kern w:val="1"/>
          <w:sz w:val="24"/>
          <w:highlight w:val="none"/>
        </w:rPr>
        <w:tab/>
      </w:r>
      <w:r>
        <w:rPr>
          <w:rFonts w:ascii="宋体" w:hAnsi="宋体" w:cs="宋体"/>
          <w:color w:val="auto"/>
          <w:kern w:val="1"/>
          <w:sz w:val="24"/>
          <w:highlight w:val="none"/>
        </w:rPr>
        <w:tab/>
      </w:r>
      <w:r>
        <w:rPr>
          <w:rFonts w:ascii="宋体" w:hAnsi="宋体" w:cs="宋体"/>
          <w:color w:val="auto"/>
          <w:kern w:val="1"/>
          <w:sz w:val="24"/>
          <w:highlight w:val="none"/>
        </w:rPr>
        <w:tab/>
      </w:r>
      <w:r>
        <w:rPr>
          <w:rFonts w:ascii="宋体" w:hAnsi="宋体" w:cs="宋体"/>
          <w:color w:val="auto"/>
          <w:kern w:val="1"/>
          <w:sz w:val="24"/>
          <w:highlight w:val="none"/>
        </w:rPr>
        <w:tab/>
      </w:r>
      <w:r>
        <w:rPr>
          <w:rFonts w:hint="eastAsia" w:ascii="宋体" w:hAnsi="宋体" w:cs="宋体"/>
          <w:color w:val="auto"/>
          <w:kern w:val="1"/>
          <w:sz w:val="24"/>
          <w:highlight w:val="none"/>
        </w:rPr>
        <w:t>项目</w:t>
      </w:r>
      <w:r>
        <w:rPr>
          <w:rFonts w:ascii="宋体" w:hAnsi="宋体" w:cs="宋体"/>
          <w:color w:val="auto"/>
          <w:kern w:val="1"/>
          <w:sz w:val="24"/>
          <w:highlight w:val="none"/>
        </w:rPr>
        <w:t>编号：</w:t>
      </w:r>
      <w:r>
        <w:rPr>
          <w:rFonts w:ascii="宋体" w:hAnsi="宋体" w:cs="宋体"/>
          <w:color w:val="auto"/>
          <w:kern w:val="1"/>
          <w:sz w:val="24"/>
          <w:highlight w:val="none"/>
          <w:u w:val="single"/>
        </w:rPr>
        <w:t xml:space="preserve">                      </w:t>
      </w:r>
    </w:p>
    <w:p>
      <w:pPr>
        <w:spacing w:line="580" w:lineRule="atLeast"/>
        <w:rPr>
          <w:rFonts w:ascii="宋体" w:hAnsi="宋体" w:cs="宋体"/>
          <w:color w:val="auto"/>
          <w:kern w:val="1"/>
          <w:sz w:val="24"/>
          <w:highlight w:val="none"/>
        </w:rPr>
      </w:pPr>
    </w:p>
    <w:p>
      <w:pPr>
        <w:spacing w:line="580" w:lineRule="atLeast"/>
        <w:rPr>
          <w:rFonts w:ascii="宋体" w:hAnsi="宋体" w:cs="宋体"/>
          <w:color w:val="auto"/>
          <w:kern w:val="1"/>
          <w:sz w:val="24"/>
          <w:highlight w:val="none"/>
        </w:rPr>
      </w:pPr>
    </w:p>
    <w:p>
      <w:pPr>
        <w:spacing w:line="580" w:lineRule="atLeast"/>
        <w:rPr>
          <w:rFonts w:ascii="宋体" w:hAnsi="宋体" w:cs="宋体"/>
          <w:color w:val="auto"/>
          <w:kern w:val="1"/>
          <w:sz w:val="24"/>
          <w:highlight w:val="none"/>
        </w:rPr>
      </w:pPr>
    </w:p>
    <w:p>
      <w:pPr>
        <w:spacing w:line="580" w:lineRule="atLeast"/>
        <w:rPr>
          <w:rFonts w:ascii="宋体" w:hAnsi="宋体" w:cs="宋体"/>
          <w:color w:val="auto"/>
          <w:kern w:val="1"/>
          <w:sz w:val="24"/>
          <w:highlight w:val="none"/>
        </w:rPr>
      </w:pPr>
    </w:p>
    <w:p>
      <w:pPr>
        <w:spacing w:line="580" w:lineRule="atLeast"/>
        <w:rPr>
          <w:rFonts w:ascii="宋体" w:hAnsi="宋体" w:cs="宋体"/>
          <w:color w:val="auto"/>
          <w:kern w:val="1"/>
          <w:sz w:val="24"/>
          <w:highlight w:val="none"/>
          <w:u w:val="single"/>
        </w:rPr>
      </w:pPr>
      <w:r>
        <w:rPr>
          <w:rFonts w:ascii="宋体" w:hAnsi="宋体" w:cs="宋体"/>
          <w:color w:val="auto"/>
          <w:kern w:val="1"/>
          <w:sz w:val="24"/>
          <w:highlight w:val="none"/>
        </w:rPr>
        <w:tab/>
      </w:r>
      <w:r>
        <w:rPr>
          <w:rFonts w:ascii="宋体" w:hAnsi="宋体" w:cs="宋体"/>
          <w:color w:val="auto"/>
          <w:kern w:val="1"/>
          <w:sz w:val="24"/>
          <w:highlight w:val="none"/>
        </w:rPr>
        <w:tab/>
      </w:r>
      <w:r>
        <w:rPr>
          <w:rFonts w:ascii="宋体" w:hAnsi="宋体" w:cs="宋体"/>
          <w:color w:val="auto"/>
          <w:kern w:val="1"/>
          <w:sz w:val="24"/>
          <w:highlight w:val="none"/>
        </w:rPr>
        <w:tab/>
      </w:r>
      <w:r>
        <w:rPr>
          <w:rFonts w:ascii="宋体" w:hAnsi="宋体" w:cs="宋体"/>
          <w:color w:val="auto"/>
          <w:kern w:val="1"/>
          <w:sz w:val="24"/>
          <w:highlight w:val="none"/>
        </w:rPr>
        <w:tab/>
      </w:r>
      <w:r>
        <w:rPr>
          <w:rFonts w:hint="eastAsia" w:ascii="宋体" w:hAnsi="宋体" w:cs="宋体"/>
          <w:color w:val="auto"/>
          <w:kern w:val="1"/>
          <w:sz w:val="24"/>
          <w:highlight w:val="none"/>
        </w:rPr>
        <w:t>甲</w:t>
      </w:r>
      <w:r>
        <w:rPr>
          <w:rFonts w:ascii="宋体" w:hAnsi="宋体" w:cs="宋体"/>
          <w:color w:val="auto"/>
          <w:kern w:val="1"/>
          <w:sz w:val="24"/>
          <w:highlight w:val="none"/>
        </w:rPr>
        <w:t xml:space="preserve">    方：</w:t>
      </w:r>
      <w:r>
        <w:rPr>
          <w:rFonts w:ascii="宋体" w:hAnsi="宋体" w:cs="宋体"/>
          <w:color w:val="auto"/>
          <w:kern w:val="1"/>
          <w:sz w:val="24"/>
          <w:highlight w:val="none"/>
          <w:u w:val="single"/>
        </w:rPr>
        <w:t xml:space="preserve">                      </w:t>
      </w:r>
    </w:p>
    <w:p>
      <w:pPr>
        <w:spacing w:line="580" w:lineRule="atLeast"/>
        <w:rPr>
          <w:rFonts w:ascii="宋体" w:hAnsi="宋体" w:cs="宋体"/>
          <w:color w:val="auto"/>
          <w:kern w:val="1"/>
          <w:sz w:val="24"/>
          <w:highlight w:val="none"/>
        </w:rPr>
      </w:pPr>
      <w:r>
        <w:rPr>
          <w:rFonts w:ascii="宋体" w:hAnsi="宋体" w:cs="宋体"/>
          <w:color w:val="auto"/>
          <w:kern w:val="1"/>
          <w:sz w:val="24"/>
          <w:highlight w:val="none"/>
        </w:rPr>
        <w:tab/>
      </w:r>
      <w:r>
        <w:rPr>
          <w:rFonts w:ascii="宋体" w:hAnsi="宋体" w:cs="宋体"/>
          <w:color w:val="auto"/>
          <w:kern w:val="1"/>
          <w:sz w:val="24"/>
          <w:highlight w:val="none"/>
        </w:rPr>
        <w:tab/>
      </w:r>
      <w:r>
        <w:rPr>
          <w:rFonts w:ascii="宋体" w:hAnsi="宋体" w:cs="宋体"/>
          <w:color w:val="auto"/>
          <w:kern w:val="1"/>
          <w:sz w:val="24"/>
          <w:highlight w:val="none"/>
        </w:rPr>
        <w:tab/>
      </w:r>
      <w:r>
        <w:rPr>
          <w:rFonts w:ascii="宋体" w:hAnsi="宋体" w:cs="宋体"/>
          <w:color w:val="auto"/>
          <w:kern w:val="1"/>
          <w:sz w:val="24"/>
          <w:highlight w:val="none"/>
        </w:rPr>
        <w:tab/>
      </w:r>
      <w:r>
        <w:rPr>
          <w:rFonts w:hint="eastAsia" w:ascii="宋体" w:hAnsi="宋体" w:cs="宋体"/>
          <w:color w:val="auto"/>
          <w:kern w:val="1"/>
          <w:sz w:val="24"/>
          <w:highlight w:val="none"/>
        </w:rPr>
        <w:t>乙</w:t>
      </w:r>
      <w:r>
        <w:rPr>
          <w:rFonts w:ascii="宋体" w:hAnsi="宋体" w:cs="宋体"/>
          <w:color w:val="auto"/>
          <w:kern w:val="1"/>
          <w:sz w:val="24"/>
          <w:highlight w:val="none"/>
        </w:rPr>
        <w:t xml:space="preserve">    方：</w:t>
      </w:r>
      <w:r>
        <w:rPr>
          <w:rFonts w:ascii="宋体" w:hAnsi="宋体" w:cs="宋体"/>
          <w:color w:val="auto"/>
          <w:kern w:val="1"/>
          <w:sz w:val="24"/>
          <w:highlight w:val="none"/>
          <w:u w:val="single"/>
        </w:rPr>
        <w:t xml:space="preserve">                      </w:t>
      </w:r>
    </w:p>
    <w:p>
      <w:pPr>
        <w:spacing w:line="460" w:lineRule="exact"/>
        <w:rPr>
          <w:rFonts w:ascii="宋体" w:hAnsi="宋体" w:cs="宋体"/>
          <w:color w:val="auto"/>
          <w:kern w:val="1"/>
          <w:sz w:val="24"/>
          <w:highlight w:val="none"/>
          <w:u w:val="single"/>
        </w:rPr>
      </w:pPr>
      <w:r>
        <w:rPr>
          <w:rFonts w:ascii="宋体" w:hAnsi="宋体" w:cs="宋体"/>
          <w:color w:val="auto"/>
          <w:kern w:val="1"/>
          <w:sz w:val="24"/>
          <w:highlight w:val="none"/>
        </w:rPr>
        <w:tab/>
      </w:r>
      <w:r>
        <w:rPr>
          <w:rFonts w:ascii="宋体" w:hAnsi="宋体" w:cs="宋体"/>
          <w:color w:val="auto"/>
          <w:kern w:val="1"/>
          <w:sz w:val="24"/>
          <w:highlight w:val="none"/>
        </w:rPr>
        <w:tab/>
      </w:r>
      <w:r>
        <w:rPr>
          <w:rFonts w:ascii="宋体" w:hAnsi="宋体" w:cs="宋体"/>
          <w:color w:val="auto"/>
          <w:kern w:val="1"/>
          <w:sz w:val="24"/>
          <w:highlight w:val="none"/>
        </w:rPr>
        <w:tab/>
      </w:r>
      <w:r>
        <w:rPr>
          <w:rFonts w:ascii="宋体" w:hAnsi="宋体" w:cs="宋体"/>
          <w:color w:val="auto"/>
          <w:kern w:val="1"/>
          <w:sz w:val="24"/>
          <w:highlight w:val="none"/>
        </w:rPr>
        <w:tab/>
      </w:r>
      <w:r>
        <w:rPr>
          <w:rFonts w:ascii="宋体" w:hAnsi="宋体" w:cs="宋体"/>
          <w:color w:val="auto"/>
          <w:kern w:val="1"/>
          <w:sz w:val="24"/>
          <w:highlight w:val="none"/>
        </w:rPr>
        <w:t>签署日期：</w:t>
      </w:r>
      <w:r>
        <w:rPr>
          <w:rFonts w:ascii="宋体" w:hAnsi="宋体" w:cs="宋体"/>
          <w:color w:val="auto"/>
          <w:kern w:val="1"/>
          <w:sz w:val="24"/>
          <w:highlight w:val="none"/>
          <w:u w:val="single"/>
        </w:rPr>
        <w:t xml:space="preserve">                      </w:t>
      </w:r>
    </w:p>
    <w:p>
      <w:pPr>
        <w:spacing w:line="360" w:lineRule="exact"/>
        <w:rPr>
          <w:rFonts w:ascii="宋体" w:hAnsi="宋体" w:cs="宋体"/>
          <w:color w:val="auto"/>
          <w:kern w:val="1"/>
          <w:sz w:val="32"/>
          <w:highlight w:val="none"/>
        </w:rPr>
      </w:pPr>
    </w:p>
    <w:p>
      <w:pPr>
        <w:spacing w:line="360" w:lineRule="exact"/>
        <w:rPr>
          <w:rFonts w:ascii="宋体" w:hAnsi="宋体" w:cs="宋体"/>
          <w:color w:val="auto"/>
          <w:kern w:val="1"/>
          <w:sz w:val="32"/>
          <w:highlight w:val="none"/>
        </w:rPr>
      </w:pPr>
    </w:p>
    <w:p>
      <w:pPr>
        <w:tabs>
          <w:tab w:val="left" w:pos="0"/>
          <w:tab w:val="left" w:pos="630"/>
        </w:tabs>
        <w:spacing w:line="500" w:lineRule="exact"/>
        <w:ind w:firstLine="420"/>
        <w:jc w:val="center"/>
        <w:rPr>
          <w:rFonts w:hint="eastAsia" w:ascii="宋体" w:hAnsi="宋体" w:eastAsia="宋体" w:cs="宋体"/>
          <w:color w:val="auto"/>
          <w:kern w:val="1"/>
          <w:sz w:val="22"/>
          <w:szCs w:val="22"/>
          <w:highlight w:val="none"/>
          <w:lang w:eastAsia="zh-CN"/>
        </w:rPr>
      </w:pPr>
      <w:r>
        <w:rPr>
          <w:rFonts w:ascii="宋体" w:hAnsi="宋体" w:cs="宋体"/>
          <w:color w:val="auto"/>
          <w:kern w:val="1"/>
          <w:sz w:val="32"/>
          <w:highlight w:val="none"/>
        </w:rPr>
        <w:br w:type="page"/>
      </w:r>
      <w:r>
        <w:rPr>
          <w:rFonts w:ascii="宋体" w:hAnsi="宋体" w:cs="宋体"/>
          <w:b/>
          <w:color w:val="auto"/>
          <w:kern w:val="1"/>
          <w:sz w:val="32"/>
          <w:highlight w:val="none"/>
        </w:rPr>
        <w:t>合同主要条款</w:t>
      </w:r>
      <w:bookmarkStart w:id="100" w:name="_Toc241404206"/>
      <w:bookmarkEnd w:id="100"/>
      <w:bookmarkStart w:id="101" w:name="_Toc221374630"/>
      <w:bookmarkEnd w:id="101"/>
      <w:bookmarkStart w:id="102" w:name="_Toc221423623"/>
      <w:bookmarkEnd w:id="102"/>
      <w:bookmarkStart w:id="103" w:name="_Toc239145358"/>
      <w:bookmarkEnd w:id="103"/>
      <w:bookmarkStart w:id="104" w:name="_Toc222114883"/>
      <w:bookmarkEnd w:id="104"/>
      <w:bookmarkStart w:id="105" w:name="_Toc223716002"/>
      <w:bookmarkEnd w:id="105"/>
      <w:bookmarkStart w:id="106" w:name="_Toc221356955"/>
      <w:bookmarkEnd w:id="106"/>
      <w:bookmarkStart w:id="107" w:name="_Toc221356891"/>
      <w:bookmarkEnd w:id="107"/>
      <w:bookmarkStart w:id="108" w:name="_Toc265529387"/>
      <w:bookmarkEnd w:id="108"/>
    </w:p>
    <w:p>
      <w:pPr>
        <w:spacing w:line="400" w:lineRule="exact"/>
        <w:ind w:firstLine="440" w:firstLineChars="200"/>
        <w:rPr>
          <w:rFonts w:hint="eastAsia" w:ascii="新宋体" w:hAnsi="新宋体" w:eastAsia="新宋体" w:cs="新宋体"/>
          <w:b/>
          <w:color w:val="auto"/>
          <w:sz w:val="22"/>
          <w:szCs w:val="22"/>
          <w:highlight w:val="none"/>
          <w:lang w:eastAsia="zh-CN"/>
        </w:rPr>
      </w:pPr>
      <w:r>
        <w:rPr>
          <w:rFonts w:hint="eastAsia" w:ascii="新宋体" w:hAnsi="新宋体" w:eastAsia="新宋体" w:cs="新宋体"/>
          <w:bCs/>
          <w:color w:val="auto"/>
          <w:sz w:val="22"/>
          <w:szCs w:val="22"/>
          <w:highlight w:val="none"/>
        </w:rPr>
        <w:t>本条款为甲乙双方必须遵守的基本条款，甲乙双方也可根据实际情况另签合同条款，正式合同以双方签字盖章的文本为准</w:t>
      </w:r>
      <w:r>
        <w:rPr>
          <w:rFonts w:hint="eastAsia" w:ascii="新宋体" w:hAnsi="新宋体" w:eastAsia="新宋体" w:cs="新宋体"/>
          <w:bCs/>
          <w:color w:val="auto"/>
          <w:sz w:val="22"/>
          <w:szCs w:val="22"/>
          <w:highlight w:val="none"/>
          <w:lang w:eastAsia="zh-CN"/>
        </w:rPr>
        <w:t>。</w:t>
      </w:r>
    </w:p>
    <w:p>
      <w:pPr>
        <w:spacing w:line="360" w:lineRule="auto"/>
        <w:rPr>
          <w:rFonts w:hint="eastAsia" w:ascii="宋体" w:hAnsi="宋体" w:eastAsia="宋体" w:cs="宋体"/>
          <w:color w:val="auto"/>
          <w:sz w:val="22"/>
          <w:szCs w:val="22"/>
          <w:highlight w:val="none"/>
        </w:rPr>
      </w:pPr>
      <w:bookmarkStart w:id="109" w:name="_Toc28668"/>
    </w:p>
    <w:p>
      <w:pPr>
        <w:spacing w:line="360" w:lineRule="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项目名称：</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项目</w:t>
      </w:r>
      <w:r>
        <w:rPr>
          <w:rFonts w:hint="eastAsia" w:ascii="宋体" w:hAnsi="宋体" w:eastAsia="宋体" w:cs="宋体"/>
          <w:color w:val="auto"/>
          <w:sz w:val="22"/>
          <w:szCs w:val="22"/>
          <w:highlight w:val="none"/>
        </w:rPr>
        <w:t>编号：</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合同编号：</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甲方：</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乙方：</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签订时间： 年月 日</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（甲方）（× × 项目 ）进行了</w:t>
      </w:r>
      <w:r>
        <w:rPr>
          <w:rFonts w:hint="eastAsia" w:ascii="宋体" w:hAnsi="宋体" w:eastAsia="宋体" w:cs="宋体"/>
          <w:color w:val="auto"/>
          <w:sz w:val="22"/>
          <w:szCs w:val="22"/>
          <w:highlight w:val="none"/>
          <w:lang w:val="en-US" w:eastAsia="zh-CN"/>
        </w:rPr>
        <w:t>国企</w:t>
      </w:r>
      <w:r>
        <w:rPr>
          <w:rFonts w:hint="eastAsia" w:ascii="宋体" w:hAnsi="宋体" w:eastAsia="宋体" w:cs="宋体"/>
          <w:color w:val="auto"/>
          <w:sz w:val="22"/>
          <w:szCs w:val="22"/>
          <w:highlight w:val="none"/>
        </w:rPr>
        <w:t>采购。 按照评委会评审推荐、 甲方确定乙方为中标单位。 现甲乙双方协商同意签订本合同。</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第一条 合同文件</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下列与本次采购活动有关的文件及附件是本合同不可分割的组成部分， 与本合同具有同等法律效力， 这些文件包括但不限于：</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招标采购文件</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 投标文件</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 乙方在投标时的书面承诺</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 中标通知书</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 合同补充条款或说明</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 保密协议或条款</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 相关附件、 图纸</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第二条合同标的</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乙方根据甲方需求提供下列货物， 货物名称、 规格及数量， 备件、 易损件和专用工具等（详见《供货一览表》）。</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第三条合同总金额</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大写：元。</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本合同项下货物总金额： ￥元。</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本合同总价款包括货物、</w:t>
      </w:r>
      <w:r>
        <w:rPr>
          <w:rFonts w:hint="eastAsia" w:ascii="宋体" w:hAnsi="宋体" w:eastAsia="宋体" w:cs="宋体"/>
          <w:color w:val="auto"/>
          <w:sz w:val="22"/>
          <w:szCs w:val="22"/>
          <w:highlight w:val="none"/>
          <w:lang w:val="en-US" w:eastAsia="zh-CN"/>
        </w:rPr>
        <w:t>配套</w:t>
      </w:r>
      <w:r>
        <w:rPr>
          <w:rFonts w:hint="eastAsia" w:ascii="宋体" w:hAnsi="宋体" w:eastAsia="宋体" w:cs="宋体"/>
          <w:color w:val="auto"/>
          <w:sz w:val="22"/>
          <w:szCs w:val="22"/>
          <w:highlight w:val="none"/>
        </w:rPr>
        <w:t>软件、标准附件、备品备件、专用工具、 图纸资料、 技术服务， 包装、 运输、 装卸、 保险、 税金， 货到就位以及安装、 调试、培训、保修等验收合格之前和质保期内的售后服务一切税金和费用。本合同执行期间合同总价款不变。</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第四条权利和质量保证</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乙方应保证甲方在使用该货物或其任何一部分时不受第三方提出侵犯其专利权、 版权、 商标权或其他权利的起诉。 一旦出现侵权，索赔或诉讼， 乙方应承担全部责任。</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 乙方保证货物是全新的、未使用过的， 完全符合国家规范及甲乙双方确认的投标文件、 本合同关于货物数量、 质量的要求。 货物符合实行国家“三包”规定的， 应执行“三包” 规定。</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本项目质保期年， 保修期年。</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 乙方提交的货物应符合投标文件中所记载的详细配置、 技术参数、 参数及性能， 并应附有此类货物完整、 详细的技术资料和说明文件。</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 乙方提交的货物必须按照招标采购文件的要求和中标人投标文件的承诺，以约定标准进行制造、 安装； 进口产品应执行原产地国家有关部门最新颁布的相应正式标准并提供国家商检、 海关报关等手续。</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 乙方应保证将货物按照国家或专业标准包装、 确保货物安全无损运抵合同规定的交货地点， 并进行安装、 试运行。</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 乙方保证货物不存在危及人身及财产安全的产品缺陷， 否则应承担全部法律责任。</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第五条付款方式</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本合同项下所有款项均以人民币支付。</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 乙方向甲方提交下列文件材料， 经甲方审核无误后支付采购资金：</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经甲方确认的发票；</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 经甲乙双方确认签署的《验收报告》（或按项目进度阶段性《验收报告》）；</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 其他材料。</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3、付款方式：</w:t>
      </w:r>
    </w:p>
    <w:p>
      <w:pPr>
        <w:widowControl/>
        <w:spacing w:line="360" w:lineRule="auto"/>
        <w:ind w:firstLine="442" w:firstLineChars="200"/>
        <w:jc w:val="left"/>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3.1在合同签订前，乙方须向甲方提供合同金额的10%作为履约保证金</w:t>
      </w:r>
      <w:r>
        <w:rPr>
          <w:rFonts w:hint="eastAsia" w:ascii="宋体" w:hAnsi="宋体" w:eastAsia="宋体" w:cs="宋体"/>
          <w:b/>
          <w:bCs/>
          <w:color w:val="auto"/>
          <w:sz w:val="22"/>
          <w:szCs w:val="22"/>
          <w:highlight w:val="none"/>
        </w:rPr>
        <w:t>（转账或保函）</w:t>
      </w:r>
      <w:r>
        <w:rPr>
          <w:rFonts w:hint="eastAsia" w:ascii="宋体" w:hAnsi="宋体" w:cs="宋体"/>
          <w:b/>
          <w:bCs/>
          <w:color w:val="auto"/>
          <w:sz w:val="22"/>
          <w:szCs w:val="22"/>
          <w:highlight w:val="none"/>
          <w:lang w:val="en-US" w:eastAsia="zh-CN"/>
        </w:rPr>
        <w:t>（由甲方开具履约保证金收据），乙方如不提供履约保证金，甲方有权拒签合同。合同签订后，待乙方完成全部货物的生产、运输、安装、调试、设备交货、试运转结束，通过最终验收后，乙方提供对应货物的全额增值税发票后15天内，甲方支付设备合同总价的100%的货款。即人民币______________元整，同时履约保证金转为质量保证金。</w:t>
      </w:r>
    </w:p>
    <w:p>
      <w:pPr>
        <w:widowControl/>
        <w:spacing w:line="360" w:lineRule="auto"/>
        <w:ind w:firstLine="442" w:firstLineChars="200"/>
        <w:jc w:val="left"/>
        <w:rPr>
          <w:rFonts w:hint="default"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3.2设备质保期为由甲、乙双方授权代表共同签署的货物最终验收合格证书后的贰年</w:t>
      </w:r>
      <w:r>
        <w:rPr>
          <w:rFonts w:hint="eastAsia" w:ascii="宋体" w:hAnsi="宋体" w:eastAsia="宋体" w:cs="宋体"/>
          <w:b/>
          <w:bCs/>
          <w:color w:val="auto"/>
          <w:sz w:val="22"/>
          <w:szCs w:val="22"/>
          <w:highlight w:val="none"/>
        </w:rPr>
        <w:t>（具体以中标供应商投标时承诺的为准）</w:t>
      </w:r>
      <w:r>
        <w:rPr>
          <w:rFonts w:hint="eastAsia" w:ascii="宋体" w:hAnsi="宋体" w:cs="宋体"/>
          <w:b/>
          <w:bCs/>
          <w:color w:val="auto"/>
          <w:sz w:val="22"/>
          <w:szCs w:val="22"/>
          <w:highlight w:val="none"/>
          <w:lang w:val="en-US" w:eastAsia="zh-CN"/>
        </w:rPr>
        <w:t>，设备合同总价的10%的货款，即人民币______________元整，无任何服务、质量问题，乙方提供甲方开具的保证金收据原件后，15天内予以无息退还。</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第七条交货和验收</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交货时间：</w:t>
      </w:r>
      <w:r>
        <w:rPr>
          <w:rFonts w:hint="eastAsia" w:ascii="宋体" w:hAnsi="宋体" w:cs="宋体"/>
          <w:color w:val="auto"/>
          <w:kern w:val="0"/>
          <w:sz w:val="22"/>
          <w:szCs w:val="22"/>
          <w:highlight w:val="none"/>
        </w:rPr>
        <w:t>合同签订后30个日历天内完成设备供货、安装、调试并通过采购人组织的验收。</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交货地点：</w:t>
      </w:r>
      <w:r>
        <w:rPr>
          <w:rFonts w:hint="eastAsia" w:ascii="宋体" w:hAnsi="宋体" w:cs="宋体"/>
          <w:color w:val="auto"/>
          <w:sz w:val="22"/>
          <w:szCs w:val="22"/>
          <w:highlight w:val="none"/>
          <w:lang w:val="en-US" w:eastAsia="zh-CN"/>
        </w:rPr>
        <w:t>甲方指定地点</w:t>
      </w:r>
      <w:r>
        <w:rPr>
          <w:rFonts w:hint="eastAsia" w:ascii="宋体" w:hAnsi="宋体" w:eastAsia="宋体" w:cs="宋体"/>
          <w:color w:val="auto"/>
          <w:sz w:val="22"/>
          <w:szCs w:val="22"/>
          <w:highlight w:val="none"/>
        </w:rPr>
        <w:t>。</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 乙方应对提供的货物作出全面自查和整理，并列出清单，作为甲方验收和使用的技术条件依据，清单应随提供的验收资料交给甲方。</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 乙方提供的货物应包括本合同“第一条合同文件” 规定的全部货物及其附（辅） 件、 资料。</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 甲方应当在到货后的个工作日内对货物进行验收。 货物验收时，甲乙双方必须同时在场， 双方共同确认货物与本合同规定的生产厂家产地、 品牌、规格型号、 数量、 质量、 技术参数和性能等是否一致。 乙方所交付的货物不符合合同规定的， 甲方有权拒收。 乙方应及时按本合同规定和甲方要求免费对拒收货物采取更换或其他必要的补救措施， 直至验收合格， 方视为乙方按本合同规定完成交货。 验收合格的， 由双方共同签署《验收报告》。</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 需要乙方对货物（包括软件） 或系统进行安装调试的， 甲乙双方应在货物安装调试完毕后的个工作日内进行运行效果验收。 在验收之前， 乙方需提前提交相应的调试计划（包括调试程序、 环境、 内容和检验标准、 调试时间安排等）供甲方确认，乙方还应对所有检验验收调试的结果、步骤、原始数据等作妥善记录。如甲方要求， 乙方应将记录提供给甲方。 调试检验出现全部或部分未达到本合同所约定的技术指标，甲方有权选择下列任一处理方式：</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a. 重新调试直至合格为止；</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b. 要求乙方对货物进行免费更换， 然后重新调试直至合格为止。甲方因乙方原因所产生的所有费用均由乙方负担。</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 验收合格的， 由双方共同签署《验收报告》。</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 甲方可以视项目规模或复杂情况聘请专业人员参与验收， 大型或复杂项目 ，以及特种货物应当邀请国家认可的第三方质量检测机构参与验收。</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 货物验收包括： 货物包装是否完好，产地生产厂家名称、品牌、型号、规格、数量、外观质量、 配置、内在质量，以及调试运行是否达到“第一条合同文件” 规定的效果。 乙方应将所提供货物的装箱清单、产品合格证、甲方手册、原厂保修卡、随机资料及备品备件、易损件、专用工具等交付给甲方； 乙方不能完整交付货物、附（辅）件和资料的， 视为未按合同约定交货， 乙方负责补齐，因此导致逾期交付的，由乙方承担相关的违约责任。</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 货物达不到本合同“第一条合同文件”规定的数量、质量要求和运行效果， 甲方有权拒收，并可以解除合同； 由此引起甲方损失及赔偿责任由乙方承担。</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 如果合同双方对《验收报告》有分歧，双方须于出现分歧后</w:t>
      </w:r>
      <w:r>
        <w:rPr>
          <w:rFonts w:hint="eastAsia" w:ascii="宋体" w:hAnsi="宋体" w:eastAsia="宋体" w:cs="宋体"/>
          <w:color w:val="auto"/>
          <w:sz w:val="22"/>
          <w:szCs w:val="22"/>
          <w:highlight w:val="none"/>
          <w:u w:val="single"/>
        </w:rPr>
        <w:t>10</w:t>
      </w:r>
      <w:r>
        <w:rPr>
          <w:rFonts w:hint="eastAsia" w:ascii="宋体" w:hAnsi="宋体" w:eastAsia="宋体" w:cs="宋体"/>
          <w:color w:val="auto"/>
          <w:sz w:val="22"/>
          <w:szCs w:val="22"/>
          <w:highlight w:val="none"/>
        </w:rPr>
        <w:t>天内给对方书面声明， 以陈述己方的理由及要求，并附有关证据。分歧应通过协商解决。</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第八条项目管理服务</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乙方应指定不少于一人全权全程负责本项目的商务服务， 以及货物安装、 调试、 咨询、 培训和售后等技术服务工作。</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项目负责人姓名：； 联系电话：。</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第九条售后服务</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质量保证期为自货物通过最终验收之日起</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年</w:t>
      </w:r>
      <w:r>
        <w:rPr>
          <w:rFonts w:hint="eastAsia" w:ascii="宋体" w:hAnsi="宋体" w:eastAsia="宋体" w:cs="宋体"/>
          <w:color w:val="auto"/>
          <w:sz w:val="22"/>
          <w:szCs w:val="22"/>
          <w:highlight w:val="none"/>
        </w:rPr>
        <w:t xml:space="preserve"> 。若国家有明确规定的质量保证期高于此质量保证期的， 执行国家规定。</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 在货物质保期内， 乙方应对由于设计、工艺、质量（含环保节能要求）、 材料和的缺陷而发生的任何不足或故障负责， 并解决存在的问题。</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 对不符合本合同第四条规定要求的货物应立即进行调换， 调换本身并不影响甲方就其损失向乙方索赔的权利。</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 货物安装调试完成后， 乙方应继续向甲方提供良好的技术支持。 应当由专门队伍从事此项工作， 并提供全天候的热线技术支持服务， 应当对甲方所反映的任何问题在日（小时）之内做出及时响应，在日（小时）之内赶到现场实地解决问题。 若问题、 故障在检修工作日（小时）后仍无法解决， 乙方应在日(小时)内免费提供不低于故障货物规格型号档次的备用货物供甲方使用， 直至故障货物修复。</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 乙方应当建立健全售后服务体系， 确保货物正常运行。 乙方应当遵守甲方的有关管理新制度、操作规程。对于乙方违规操作造成甲方损失的，由乙方按照本合同第十二条的约定承担赔偿责任。</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 乙方应负责货物及主要部件、 配件维修更换。 质保期内， 乙方对货物（人为故意损坏除外） 提供全免费保修或免费更换； 质保期后， 收取维修成本费（备品备件乙方应以投标文件承诺的优惠价格提供）。</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第十条分包</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除招标采购文件事先说明、 且经甲方事先书面同意外， 乙方不得分包其应履行的合同义务。</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第十一条合同的生效</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本合同经甲乙双方授权代表签订并加盖公章或合同专用章后生效。</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 生效后，甲乙双方不得擅自变更、 中止或终止合同。</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第十二条违约责任</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 乙方所交付的货物不符合本合同规定的，甲方有权拒收，乙方在得到甲方通知之日起个工作日内采取补救措施，逾期仍未采取有效措施的，甲方有权要求乙方赔偿因此造成的损失或扣留履约保证金；同时乙方应向甲方支付合同总价</w:t>
      </w:r>
      <w:r>
        <w:rPr>
          <w:rFonts w:hint="eastAsia" w:ascii="宋体" w:hAnsi="宋体" w:eastAsia="宋体" w:cs="宋体"/>
          <w:color w:val="auto"/>
          <w:sz w:val="22"/>
          <w:szCs w:val="22"/>
          <w:highlight w:val="none"/>
          <w:u w:val="single"/>
        </w:rPr>
        <w:t>5</w:t>
      </w:r>
      <w:r>
        <w:rPr>
          <w:rFonts w:hint="eastAsia" w:ascii="宋体" w:hAnsi="宋体" w:eastAsia="宋体" w:cs="宋体"/>
          <w:color w:val="auto"/>
          <w:sz w:val="22"/>
          <w:szCs w:val="22"/>
          <w:highlight w:val="none"/>
        </w:rPr>
        <w:t>％的违约金。</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 甲方无正当理由拒收货物、 拒付货款的， 甲方应向乙方偿付拒付货款</w:t>
      </w:r>
      <w:r>
        <w:rPr>
          <w:rFonts w:hint="eastAsia" w:ascii="宋体" w:hAnsi="宋体" w:eastAsia="宋体" w:cs="宋体"/>
          <w:color w:val="auto"/>
          <w:sz w:val="22"/>
          <w:szCs w:val="22"/>
          <w:highlight w:val="none"/>
          <w:u w:val="single"/>
        </w:rPr>
        <w:t>5</w:t>
      </w:r>
      <w:r>
        <w:rPr>
          <w:rFonts w:hint="eastAsia" w:ascii="宋体" w:hAnsi="宋体" w:eastAsia="宋体" w:cs="宋体"/>
          <w:color w:val="auto"/>
          <w:sz w:val="22"/>
          <w:szCs w:val="22"/>
          <w:highlight w:val="none"/>
        </w:rPr>
        <w:t>％的违约金。</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3,乙方无正当理由逾期交付货物的,每逾期1天,乙方向甲方偿付逾期交货部分贷款总额的</w:t>
      </w:r>
      <w:r>
        <w:rPr>
          <w:rFonts w:hint="eastAsia" w:ascii="宋体" w:hAnsi="宋体" w:eastAsia="宋体" w:cs="宋体"/>
          <w:color w:val="auto"/>
          <w:sz w:val="22"/>
          <w:szCs w:val="22"/>
          <w:highlight w:val="none"/>
          <w:u w:val="single"/>
        </w:rPr>
        <w:t>5</w:t>
      </w:r>
      <w:r>
        <w:rPr>
          <w:rFonts w:hint="eastAsia" w:ascii="宋体" w:hAnsi="宋体" w:eastAsia="宋体" w:cs="宋体"/>
          <w:color w:val="auto"/>
          <w:sz w:val="22"/>
          <w:szCs w:val="22"/>
          <w:highlight w:val="none"/>
        </w:rPr>
        <w:t>%的违约金。如乙方逾期交货达</w:t>
      </w:r>
      <w:r>
        <w:rPr>
          <w:rFonts w:hint="eastAsia" w:ascii="宋体" w:hAnsi="宋体" w:eastAsia="宋体" w:cs="宋体"/>
          <w:color w:val="auto"/>
          <w:sz w:val="22"/>
          <w:szCs w:val="22"/>
          <w:highlight w:val="none"/>
          <w:u w:val="single"/>
        </w:rPr>
        <w:t>15</w:t>
      </w:r>
      <w:r>
        <w:rPr>
          <w:rFonts w:hint="eastAsia" w:ascii="宋体" w:hAnsi="宋体" w:eastAsia="宋体" w:cs="宋体"/>
          <w:color w:val="auto"/>
          <w:sz w:val="22"/>
          <w:szCs w:val="22"/>
          <w:highlight w:val="none"/>
        </w:rPr>
        <w:t>天,甲方有权解除合同,甲方解除合同的通知自到达乙方时生效。在此情况下,乙方给甲方造成的实际损失高于违约金的,对高出违约金的部分乙方应予以赔偿。</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4,甲方未按合同规定的期限向乙方支付贷款的,每逾期1天甲方向乙方偿付欠款总额的</w:t>
      </w:r>
      <w:r>
        <w:rPr>
          <w:rFonts w:hint="eastAsia" w:ascii="宋体" w:hAnsi="宋体" w:eastAsia="宋体" w:cs="宋体"/>
          <w:color w:val="auto"/>
          <w:sz w:val="22"/>
          <w:szCs w:val="22"/>
          <w:highlight w:val="none"/>
          <w:u w:val="single"/>
        </w:rPr>
        <w:t xml:space="preserve"> 1 </w:t>
      </w:r>
      <w:r>
        <w:rPr>
          <w:rFonts w:hint="eastAsia" w:ascii="宋体" w:hAnsi="宋体" w:eastAsia="宋体" w:cs="宋体"/>
          <w:color w:val="auto"/>
          <w:sz w:val="22"/>
          <w:szCs w:val="22"/>
          <w:highlight w:val="none"/>
        </w:rPr>
        <w:t>%违约金,但累计违约金总额不超过欠款总额的</w:t>
      </w:r>
      <w:r>
        <w:rPr>
          <w:rFonts w:hint="eastAsia" w:ascii="宋体" w:hAnsi="宋体" w:eastAsia="宋体" w:cs="宋体"/>
          <w:color w:val="auto"/>
          <w:sz w:val="22"/>
          <w:szCs w:val="22"/>
          <w:highlight w:val="none"/>
          <w:u w:val="single"/>
        </w:rPr>
        <w:t xml:space="preserve">3 </w:t>
      </w:r>
      <w:r>
        <w:rPr>
          <w:rFonts w:hint="eastAsia" w:ascii="宋体" w:hAnsi="宋体" w:eastAsia="宋体" w:cs="宋体"/>
          <w:color w:val="auto"/>
          <w:sz w:val="22"/>
          <w:szCs w:val="22"/>
          <w:highlight w:val="none"/>
        </w:rPr>
        <w:t>%。</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5.在乙方承诺的或国家规定的质量保证期内(取两者中最长的期限),如经乙方两次维修,货物仍不能达到合同约定的质量标准、远行效果的, 甲方有权要求乙方更换为全新合格货物并按本条第1款处理,同时,乙方运须赔俊甲方因此遭受的损失。</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6,其它未尽事宜,以《中华人民共和国民法典》等有关法律法规规定为准,无相关规定的,双方协商解决。</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第十三条不可抗力</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甲、乙方中任何一方,因不可执力不能按时或兜全履行合同的,应及时通知对方,并在个工作日内提供相应证明。未履行宪合同部分是否继续履行、如何履行等问题,可由双方初步协商,并向主管</w:t>
      </w:r>
      <w:r>
        <w:rPr>
          <w:rFonts w:hint="eastAsia" w:ascii="宋体" w:hAnsi="宋体" w:eastAsia="宋体" w:cs="宋体"/>
          <w:color w:val="auto"/>
          <w:sz w:val="22"/>
          <w:szCs w:val="22"/>
          <w:highlight w:val="none"/>
          <w:lang w:val="en-US" w:eastAsia="zh-CN"/>
        </w:rPr>
        <w:t>单位</w:t>
      </w:r>
      <w:r>
        <w:rPr>
          <w:rFonts w:hint="eastAsia" w:ascii="宋体" w:hAnsi="宋体" w:eastAsia="宋体" w:cs="宋体"/>
          <w:color w:val="auto"/>
          <w:sz w:val="22"/>
          <w:szCs w:val="22"/>
          <w:highlight w:val="none"/>
        </w:rPr>
        <w:t>报告。确定为不可抗力原因造成的损失,免于承担责任。</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第十四条争议的解决方式</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1.因货物的质量问题发生争议的,应当邀请国家认可的质量检测机构对货物质量进行鉴定。货物特合标准的,鉴定费由甲方承担;货物不符合质量标准的,鉴定费由乙方承担。</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2、在解释或者执行本合同的过程中发生争议时,双方应通过协商方式解决。</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3、经协商不能解决的争议,双方可选择以下第一种方式解决:①向项目所在地有管辖权的法院提起诉讼;②向项目所在地仲裁委员会提出仲裁。</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4,在法院审理和仲裁期间,除有争议部分外,本合同其他部分可以履行的仍应按合同条款继续履行。</w:t>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第十五条其他</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经双方协</w:t>
      </w:r>
      <w:r>
        <w:rPr>
          <w:rFonts w:hint="eastAsia" w:ascii="宋体" w:hAnsi="宋体" w:eastAsia="宋体" w:cs="宋体"/>
          <w:color w:val="auto"/>
          <w:sz w:val="22"/>
          <w:szCs w:val="22"/>
          <w:highlight w:val="none"/>
          <w:lang w:val="en-US" w:eastAsia="zh-CN"/>
        </w:rPr>
        <w:t>商</w:t>
      </w:r>
      <w:r>
        <w:rPr>
          <w:rFonts w:hint="eastAsia" w:ascii="宋体" w:hAnsi="宋体" w:eastAsia="宋体" w:cs="宋体"/>
          <w:color w:val="auto"/>
          <w:sz w:val="22"/>
          <w:szCs w:val="22"/>
          <w:highlight w:val="none"/>
        </w:rPr>
        <w:t>,可签订补充新合同,所签订的补充新合同与本合同具有同等法律效力。</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本合同一式</w:t>
      </w:r>
      <w:r>
        <w:rPr>
          <w:rFonts w:hint="eastAsia" w:ascii="宋体" w:hAnsi="宋体" w:eastAsia="宋体" w:cs="宋体"/>
          <w:color w:val="auto"/>
          <w:sz w:val="22"/>
          <w:szCs w:val="22"/>
          <w:highlight w:val="none"/>
          <w:lang w:val="en-US" w:eastAsia="zh-CN"/>
        </w:rPr>
        <w:t>肆</w:t>
      </w:r>
      <w:r>
        <w:rPr>
          <w:rFonts w:hint="eastAsia" w:ascii="宋体" w:hAnsi="宋体" w:eastAsia="宋体" w:cs="宋体"/>
          <w:color w:val="auto"/>
          <w:sz w:val="22"/>
          <w:szCs w:val="22"/>
          <w:highlight w:val="none"/>
        </w:rPr>
        <w:t>份,甲、乙双方各执</w:t>
      </w:r>
      <w:r>
        <w:rPr>
          <w:rFonts w:hint="eastAsia" w:ascii="宋体" w:hAnsi="宋体" w:eastAsia="宋体" w:cs="宋体"/>
          <w:color w:val="auto"/>
          <w:sz w:val="22"/>
          <w:szCs w:val="22"/>
          <w:highlight w:val="none"/>
          <w:lang w:val="en-US" w:eastAsia="zh-CN"/>
        </w:rPr>
        <w:t>贰</w:t>
      </w:r>
      <w:r>
        <w:rPr>
          <w:rFonts w:hint="eastAsia" w:ascii="宋体" w:hAnsi="宋体" w:eastAsia="宋体" w:cs="宋体"/>
          <w:color w:val="auto"/>
          <w:sz w:val="22"/>
          <w:szCs w:val="22"/>
          <w:highlight w:val="none"/>
        </w:rPr>
        <w:t>份。</w:t>
      </w:r>
    </w:p>
    <w:p>
      <w:pPr>
        <w:spacing w:line="360" w:lineRule="auto"/>
        <w:rPr>
          <w:rFonts w:hint="eastAsia" w:ascii="宋体" w:hAnsi="宋体" w:eastAsia="宋体" w:cs="宋体"/>
          <w:color w:val="auto"/>
          <w:sz w:val="22"/>
          <w:szCs w:val="22"/>
          <w:highlight w:val="none"/>
        </w:rPr>
      </w:pPr>
    </w:p>
    <w:p>
      <w:pPr>
        <w:spacing w:line="360" w:lineRule="auto"/>
        <w:rPr>
          <w:rFonts w:hint="eastAsia" w:ascii="宋体" w:hAnsi="宋体" w:eastAsia="宋体" w:cs="宋体"/>
          <w:color w:val="auto"/>
          <w:sz w:val="22"/>
          <w:szCs w:val="22"/>
          <w:highlight w:val="none"/>
        </w:rPr>
      </w:pP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甲方:                                      乙方:</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名称: (盖章)                               名称: (盖章)</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地址:                                      地址:</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法定代表人(签字):                          法定代表人(签字):</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授权代表(签字):                            授权代表(签字):</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开户银行:                                  开户银行:</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银行帐号:                                  银行帐号:</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时间：年月日                               时间：年月日</w:t>
      </w:r>
    </w:p>
    <w:p>
      <w:pPr>
        <w:spacing w:line="360" w:lineRule="auto"/>
        <w:ind w:firstLine="330" w:firstLineChars="150"/>
        <w:rPr>
          <w:rFonts w:hint="eastAsia" w:ascii="宋体" w:hAnsi="宋体" w:eastAsia="宋体" w:cs="宋体"/>
          <w:color w:val="auto"/>
          <w:sz w:val="22"/>
          <w:szCs w:val="22"/>
          <w:highlight w:val="none"/>
        </w:rPr>
      </w:pPr>
    </w:p>
    <w:p>
      <w:pPr>
        <w:spacing w:line="360" w:lineRule="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注：本合同作为示范文本，具体以中标人与采购人所签订正式合同为准</w:t>
      </w:r>
      <w:r>
        <w:rPr>
          <w:rFonts w:hint="eastAsia" w:ascii="宋体" w:hAnsi="宋体" w:eastAsia="宋体" w:cs="宋体"/>
          <w:color w:val="auto"/>
          <w:sz w:val="22"/>
          <w:szCs w:val="22"/>
          <w:highlight w:val="none"/>
        </w:rPr>
        <w:t>。</w:t>
      </w:r>
    </w:p>
    <w:p>
      <w:pPr>
        <w:rPr>
          <w:rFonts w:ascii="新宋体" w:hAnsi="新宋体" w:eastAsia="新宋体" w:cs="新宋体"/>
          <w:color w:val="auto"/>
          <w:sz w:val="36"/>
          <w:szCs w:val="36"/>
          <w:highlight w:val="none"/>
        </w:rPr>
      </w:pPr>
      <w:r>
        <w:rPr>
          <w:rFonts w:hint="eastAsia" w:ascii="新宋体" w:hAnsi="新宋体" w:eastAsia="新宋体" w:cs="新宋体"/>
          <w:color w:val="auto"/>
          <w:sz w:val="36"/>
          <w:szCs w:val="36"/>
          <w:highlight w:val="none"/>
        </w:rPr>
        <w:br w:type="page"/>
      </w:r>
    </w:p>
    <w:p>
      <w:pPr>
        <w:pStyle w:val="3"/>
        <w:rPr>
          <w:rFonts w:ascii="新宋体" w:hAnsi="新宋体" w:eastAsia="新宋体" w:cs="新宋体"/>
          <w:color w:val="auto"/>
          <w:sz w:val="36"/>
          <w:szCs w:val="36"/>
          <w:highlight w:val="none"/>
        </w:rPr>
      </w:pPr>
      <w:r>
        <w:rPr>
          <w:rFonts w:hint="eastAsia" w:ascii="新宋体" w:hAnsi="新宋体" w:eastAsia="新宋体" w:cs="新宋体"/>
          <w:color w:val="auto"/>
          <w:sz w:val="36"/>
          <w:szCs w:val="36"/>
          <w:highlight w:val="none"/>
        </w:rPr>
        <w:t>第三部分   投标文件格式</w:t>
      </w:r>
      <w:bookmarkEnd w:id="99"/>
      <w:bookmarkEnd w:id="109"/>
    </w:p>
    <w:p>
      <w:pPr>
        <w:spacing w:before="120" w:beforeLines="50" w:after="120" w:afterLines="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（资格审查资料封面，供参考）</w:t>
      </w:r>
    </w:p>
    <w:p>
      <w:pPr>
        <w:rPr>
          <w:rFonts w:ascii="新宋体" w:hAnsi="新宋体" w:eastAsia="新宋体" w:cs="新宋体"/>
          <w:color w:val="auto"/>
          <w:highlight w:val="none"/>
        </w:rPr>
      </w:pPr>
    </w:p>
    <w:p>
      <w:pPr>
        <w:rPr>
          <w:rFonts w:ascii="新宋体" w:hAnsi="新宋体" w:eastAsia="新宋体" w:cs="新宋体"/>
          <w:color w:val="auto"/>
          <w:highlight w:val="none"/>
        </w:rPr>
      </w:pPr>
    </w:p>
    <w:p>
      <w:pPr>
        <w:rPr>
          <w:rFonts w:ascii="新宋体" w:hAnsi="新宋体" w:eastAsia="新宋体" w:cs="新宋体"/>
          <w:color w:val="auto"/>
          <w:highlight w:val="non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（项目名称）</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投标文件</w:t>
      </w:r>
    </w:p>
    <w:p>
      <w:pPr>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pStyle w:val="17"/>
        <w:ind w:firstLine="280"/>
        <w:rPr>
          <w:rFonts w:ascii="新宋体" w:hAnsi="新宋体" w:eastAsia="新宋体" w:cs="新宋体"/>
          <w:color w:val="auto"/>
          <w:sz w:val="28"/>
          <w:szCs w:val="28"/>
          <w:highlight w:val="none"/>
        </w:rPr>
      </w:pPr>
    </w:p>
    <w:p>
      <w:pPr>
        <w:pStyle w:val="17"/>
        <w:ind w:firstLine="280"/>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jc w:val="center"/>
        <w:rPr>
          <w:rFonts w:ascii="新宋体" w:hAnsi="新宋体" w:eastAsia="新宋体" w:cs="新宋体"/>
          <w:color w:val="auto"/>
          <w:sz w:val="52"/>
          <w:szCs w:val="52"/>
          <w:highlight w:val="none"/>
        </w:rPr>
      </w:pPr>
      <w:r>
        <w:rPr>
          <w:rFonts w:hint="eastAsia" w:ascii="新宋体" w:hAnsi="新宋体" w:eastAsia="新宋体" w:cs="新宋体"/>
          <w:color w:val="auto"/>
          <w:sz w:val="52"/>
          <w:szCs w:val="52"/>
          <w:highlight w:val="none"/>
        </w:rPr>
        <w:t>资格审查资料</w:t>
      </w: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投标人：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（盖单位章）</w:t>
      </w:r>
    </w:p>
    <w:p>
      <w:pPr>
        <w:rPr>
          <w:rFonts w:ascii="新宋体" w:hAnsi="新宋体" w:eastAsia="新宋体" w:cs="新宋体"/>
          <w:color w:val="auto"/>
          <w:sz w:val="28"/>
          <w:szCs w:val="28"/>
          <w:highlight w:val="none"/>
          <w:u w:val="singl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法定代表人或其委托代理人：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（签字或盖章）</w:t>
      </w:r>
    </w:p>
    <w:p>
      <w:pPr>
        <w:rPr>
          <w:rFonts w:ascii="新宋体" w:hAnsi="新宋体" w:eastAsia="新宋体" w:cs="新宋体"/>
          <w:color w:val="auto"/>
          <w:sz w:val="28"/>
          <w:szCs w:val="28"/>
          <w:highlight w:val="none"/>
        </w:rPr>
      </w:pPr>
    </w:p>
    <w:p>
      <w:pPr>
        <w:overflowPunct w:val="0"/>
        <w:spacing w:line="380" w:lineRule="exact"/>
        <w:ind w:firstLine="2738" w:firstLineChars="978"/>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年</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月</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日</w:t>
      </w:r>
    </w:p>
    <w:p>
      <w:pPr>
        <w:spacing w:line="460" w:lineRule="exact"/>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pPr>
        <w:jc w:val="center"/>
        <w:rPr>
          <w:rFonts w:ascii="新宋体" w:hAnsi="新宋体" w:eastAsia="新宋体" w:cs="新宋体"/>
          <w:b/>
          <w:bCs/>
          <w:color w:val="auto"/>
          <w:sz w:val="52"/>
          <w:szCs w:val="52"/>
          <w:highlight w:val="none"/>
        </w:rPr>
      </w:pPr>
      <w:r>
        <w:rPr>
          <w:rFonts w:hint="eastAsia" w:ascii="新宋体" w:hAnsi="新宋体" w:eastAsia="新宋体" w:cs="新宋体"/>
          <w:b/>
          <w:bCs/>
          <w:color w:val="auto"/>
          <w:sz w:val="52"/>
          <w:szCs w:val="52"/>
          <w:highlight w:val="none"/>
        </w:rPr>
        <w:t>目    录</w:t>
      </w:r>
    </w:p>
    <w:p>
      <w:pPr>
        <w:spacing w:line="588" w:lineRule="exact"/>
        <w:ind w:left="420"/>
        <w:rPr>
          <w:rFonts w:ascii="新宋体" w:hAnsi="新宋体" w:eastAsia="新宋体" w:cs="新宋体"/>
          <w:color w:val="auto"/>
          <w:sz w:val="22"/>
          <w:szCs w:val="22"/>
          <w:highlight w:val="none"/>
        </w:rPr>
      </w:pPr>
    </w:p>
    <w:p>
      <w:pPr>
        <w:numPr>
          <w:ilvl w:val="0"/>
          <w:numId w:val="7"/>
        </w:numPr>
        <w:spacing w:line="588"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法定代表人授权书和授权代表人有效身份证明；</w:t>
      </w:r>
    </w:p>
    <w:p>
      <w:pPr>
        <w:numPr>
          <w:ilvl w:val="0"/>
          <w:numId w:val="7"/>
        </w:numPr>
        <w:spacing w:line="588"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营业执照(或事业法人登记证书或其它工商等登记证明材料)；</w:t>
      </w:r>
    </w:p>
    <w:p>
      <w:pPr>
        <w:numPr>
          <w:ilvl w:val="0"/>
          <w:numId w:val="7"/>
        </w:numPr>
        <w:spacing w:line="588"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资格条件承诺函</w:t>
      </w:r>
    </w:p>
    <w:p>
      <w:pPr>
        <w:numPr>
          <w:ilvl w:val="0"/>
          <w:numId w:val="7"/>
        </w:numPr>
        <w:spacing w:line="588"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申请材料真实性声明</w:t>
      </w:r>
    </w:p>
    <w:p>
      <w:pPr>
        <w:numPr>
          <w:ilvl w:val="0"/>
          <w:numId w:val="7"/>
        </w:numPr>
        <w:spacing w:line="588" w:lineRule="exact"/>
        <w:rPr>
          <w:rFonts w:ascii="新宋体" w:hAnsi="新宋体" w:eastAsia="新宋体" w:cs="新宋体"/>
          <w:color w:val="auto"/>
          <w:sz w:val="22"/>
          <w:highlight w:val="none"/>
        </w:rPr>
      </w:pPr>
      <w:r>
        <w:rPr>
          <w:rFonts w:hint="eastAsia" w:ascii="新宋体" w:hAnsi="新宋体" w:eastAsia="新宋体" w:cs="新宋体"/>
          <w:color w:val="auto"/>
          <w:sz w:val="22"/>
          <w:szCs w:val="22"/>
          <w:highlight w:val="none"/>
        </w:rPr>
        <w:t>投标保证金缴纳凭证,最终以实际到帐为准（加盖公章）</w:t>
      </w:r>
    </w:p>
    <w:p>
      <w:pPr>
        <w:spacing w:line="588" w:lineRule="exact"/>
        <w:ind w:left="420"/>
        <w:rPr>
          <w:rFonts w:ascii="新宋体" w:hAnsi="新宋体" w:eastAsia="新宋体" w:cs="新宋体"/>
          <w:color w:val="auto"/>
          <w:sz w:val="22"/>
          <w:szCs w:val="22"/>
          <w:highlight w:val="none"/>
        </w:rPr>
      </w:pPr>
    </w:p>
    <w:p>
      <w:pPr>
        <w:widowControl/>
        <w:adjustRightInd w:val="0"/>
        <w:snapToGrid w:val="0"/>
        <w:spacing w:line="360" w:lineRule="auto"/>
        <w:jc w:val="center"/>
        <w:rPr>
          <w:rFonts w:ascii="新宋体" w:hAnsi="新宋体" w:eastAsia="新宋体" w:cs="新宋体"/>
          <w:b/>
          <w:color w:val="auto"/>
          <w:kern w:val="0"/>
          <w:sz w:val="28"/>
          <w:szCs w:val="28"/>
          <w:highlight w:val="none"/>
        </w:rPr>
      </w:pPr>
      <w:r>
        <w:rPr>
          <w:rFonts w:hint="eastAsia" w:ascii="新宋体" w:hAnsi="新宋体" w:eastAsia="新宋体" w:cs="新宋体"/>
          <w:b/>
          <w:bCs/>
          <w:color w:val="auto"/>
          <w:sz w:val="32"/>
          <w:szCs w:val="32"/>
          <w:highlight w:val="none"/>
        </w:rPr>
        <w:br w:type="page"/>
      </w:r>
      <w:r>
        <w:rPr>
          <w:rFonts w:hint="eastAsia" w:ascii="新宋体" w:hAnsi="新宋体" w:eastAsia="新宋体" w:cs="新宋体"/>
          <w:b/>
          <w:color w:val="auto"/>
          <w:kern w:val="0"/>
          <w:sz w:val="28"/>
          <w:szCs w:val="28"/>
          <w:highlight w:val="none"/>
        </w:rPr>
        <w:t>法定代表人授权书</w:t>
      </w:r>
    </w:p>
    <w:p>
      <w:pPr>
        <w:spacing w:line="420" w:lineRule="exact"/>
        <w:rPr>
          <w:rFonts w:ascii="新宋体" w:hAnsi="新宋体" w:eastAsia="新宋体" w:cs="新宋体"/>
          <w:b/>
          <w:color w:val="auto"/>
          <w:sz w:val="22"/>
          <w:szCs w:val="22"/>
          <w:highlight w:val="none"/>
        </w:rPr>
      </w:pPr>
    </w:p>
    <w:p>
      <w:pPr>
        <w:spacing w:line="420" w:lineRule="exac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eastAsia="zh-CN"/>
        </w:rPr>
        <w:t>温州瓯发市政工程有限公司</w:t>
      </w:r>
    </w:p>
    <w:p>
      <w:pPr>
        <w:spacing w:line="42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温州市智信招标代理有限公司：</w:t>
      </w:r>
    </w:p>
    <w:p>
      <w:pPr>
        <w:spacing w:line="460" w:lineRule="exact"/>
        <w:rPr>
          <w:rFonts w:ascii="新宋体" w:hAnsi="新宋体" w:eastAsia="新宋体" w:cs="新宋体"/>
          <w:color w:val="auto"/>
          <w:sz w:val="22"/>
          <w:szCs w:val="22"/>
          <w:highlight w:val="none"/>
          <w:u w:val="single"/>
        </w:rPr>
      </w:pPr>
    </w:p>
    <w:p>
      <w:pPr>
        <w:spacing w:line="460" w:lineRule="exact"/>
        <w:ind w:firstLine="550" w:firstLineChars="2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（投标人全称）法定代表人</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授权</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（全权代表姓名）为全权代表，参加贵处组织的</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（采购项目名称、编号）的采购活动，全权代表我方处理采购活动中的一切事宜。</w:t>
      </w:r>
    </w:p>
    <w:p>
      <w:pPr>
        <w:spacing w:line="460" w:lineRule="exact"/>
        <w:ind w:firstLine="2955"/>
        <w:rPr>
          <w:rFonts w:ascii="新宋体" w:hAnsi="新宋体" w:eastAsia="新宋体" w:cs="新宋体"/>
          <w:color w:val="auto"/>
          <w:sz w:val="22"/>
          <w:szCs w:val="22"/>
          <w:highlight w:val="none"/>
        </w:rPr>
      </w:pPr>
    </w:p>
    <w:p>
      <w:pPr>
        <w:spacing w:line="460" w:lineRule="exact"/>
        <w:ind w:firstLine="2955"/>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w:t>
      </w:r>
    </w:p>
    <w:p>
      <w:pPr>
        <w:spacing w:line="460" w:lineRule="exact"/>
        <w:ind w:firstLine="3971" w:firstLineChars="1805"/>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 (签字或盖章)：</w:t>
      </w:r>
    </w:p>
    <w:p>
      <w:pPr>
        <w:spacing w:line="460" w:lineRule="exact"/>
        <w:ind w:firstLine="2955"/>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投标人全称（公章）：</w:t>
      </w:r>
    </w:p>
    <w:p>
      <w:pPr>
        <w:spacing w:line="460" w:lineRule="exact"/>
        <w:ind w:firstLine="2955"/>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日期：     年    月   日</w:t>
      </w:r>
    </w:p>
    <w:p>
      <w:pPr>
        <w:spacing w:line="460" w:lineRule="exact"/>
        <w:rPr>
          <w:rFonts w:ascii="新宋体" w:hAnsi="新宋体" w:eastAsia="新宋体" w:cs="新宋体"/>
          <w:color w:val="auto"/>
          <w:sz w:val="22"/>
          <w:szCs w:val="22"/>
          <w:highlight w:val="none"/>
        </w:rPr>
      </w:pPr>
    </w:p>
    <w:p>
      <w:pPr>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附：</w:t>
      </w:r>
    </w:p>
    <w:p>
      <w:pPr>
        <w:spacing w:line="460" w:lineRule="exact"/>
        <w:ind w:firstLine="220" w:firstLineChars="1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授权代表姓名：</w:t>
      </w:r>
    </w:p>
    <w:p>
      <w:pPr>
        <w:spacing w:line="460" w:lineRule="exact"/>
        <w:ind w:firstLine="220" w:firstLineChars="1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职务：</w:t>
      </w:r>
    </w:p>
    <w:p>
      <w:pPr>
        <w:spacing w:line="460" w:lineRule="exact"/>
        <w:ind w:firstLine="220" w:firstLineChars="1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详细通讯地址：</w:t>
      </w:r>
    </w:p>
    <w:p>
      <w:pPr>
        <w:spacing w:line="460" w:lineRule="exact"/>
        <w:ind w:firstLine="220" w:firstLineChars="1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电话：</w:t>
      </w:r>
    </w:p>
    <w:p>
      <w:pPr>
        <w:spacing w:line="460" w:lineRule="exact"/>
        <w:ind w:firstLine="220" w:firstLineChars="1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传真：</w:t>
      </w:r>
    </w:p>
    <w:p>
      <w:pPr>
        <w:spacing w:line="460" w:lineRule="exact"/>
        <w:ind w:firstLine="220" w:firstLineChars="1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邮政编码:</w:t>
      </w:r>
    </w:p>
    <w:tbl>
      <w:tblPr>
        <w:tblStyle w:val="18"/>
        <w:tblW w:w="0" w:type="auto"/>
        <w:tblInd w:w="4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17" w:hRule="atLeast"/>
        </w:trPr>
        <w:tc>
          <w:tcPr>
            <w:tcW w:w="4864" w:type="dxa"/>
            <w:vAlign w:val="center"/>
          </w:tcPr>
          <w:p>
            <w:pPr>
              <w:spacing w:line="380" w:lineRule="exact"/>
              <w:jc w:val="center"/>
              <w:rPr>
                <w:rFonts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t>投标人代表身份证复印件</w:t>
            </w:r>
          </w:p>
          <w:p>
            <w:pPr>
              <w:spacing w:line="380" w:lineRule="exact"/>
              <w:jc w:val="center"/>
              <w:rPr>
                <w:rFonts w:ascii="新宋体" w:hAnsi="新宋体" w:eastAsia="新宋体" w:cs="新宋体"/>
                <w:b/>
                <w:bCs/>
                <w:color w:val="auto"/>
                <w:sz w:val="28"/>
                <w:highlight w:val="none"/>
              </w:rPr>
            </w:pPr>
          </w:p>
        </w:tc>
      </w:tr>
    </w:tbl>
    <w:p>
      <w:pPr>
        <w:pStyle w:val="3"/>
        <w:jc w:val="left"/>
        <w:rPr>
          <w:rFonts w:ascii="新宋体" w:hAnsi="新宋体" w:eastAsia="新宋体" w:cs="新宋体"/>
          <w:b w:val="0"/>
          <w:color w:val="auto"/>
          <w:szCs w:val="21"/>
          <w:highlight w:val="none"/>
        </w:rPr>
      </w:pPr>
      <w:r>
        <w:rPr>
          <w:rFonts w:hint="eastAsia" w:ascii="新宋体" w:hAnsi="新宋体" w:eastAsia="新宋体" w:cs="新宋体"/>
          <w:color w:val="auto"/>
          <w:sz w:val="22"/>
          <w:szCs w:val="22"/>
          <w:highlight w:val="none"/>
        </w:rPr>
        <w:br w:type="page"/>
      </w:r>
    </w:p>
    <w:p>
      <w:pPr>
        <w:pStyle w:val="3"/>
        <w:rPr>
          <w:rFonts w:ascii="新宋体" w:hAnsi="新宋体" w:eastAsia="新宋体" w:cs="新宋体"/>
          <w:color w:val="auto"/>
          <w:kern w:val="0"/>
          <w:sz w:val="28"/>
          <w:szCs w:val="28"/>
          <w:highlight w:val="none"/>
        </w:rPr>
      </w:pPr>
      <w:bookmarkStart w:id="110" w:name="_Toc5222"/>
      <w:bookmarkStart w:id="111" w:name="_Toc9801"/>
      <w:r>
        <w:rPr>
          <w:rFonts w:hint="eastAsia" w:ascii="新宋体" w:hAnsi="新宋体" w:eastAsia="新宋体" w:cs="新宋体"/>
          <w:color w:val="auto"/>
          <w:kern w:val="0"/>
          <w:sz w:val="28"/>
          <w:szCs w:val="28"/>
          <w:highlight w:val="none"/>
        </w:rPr>
        <w:t>资格条件承诺函</w:t>
      </w:r>
      <w:bookmarkEnd w:id="110"/>
      <w:bookmarkEnd w:id="111"/>
    </w:p>
    <w:p>
      <w:pPr>
        <w:spacing w:line="440" w:lineRule="exact"/>
        <w:ind w:right="-153" w:rightChars="-73"/>
        <w:rPr>
          <w:rFonts w:ascii="宋体" w:hAnsi="宋体" w:cs="宋体"/>
          <w:color w:val="auto"/>
          <w:sz w:val="22"/>
          <w:szCs w:val="22"/>
          <w:highlight w:val="none"/>
        </w:rPr>
      </w:pPr>
    </w:p>
    <w:p>
      <w:pPr>
        <w:spacing w:line="420" w:lineRule="exac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eastAsia="zh-CN"/>
        </w:rPr>
        <w:t>温州瓯发市政工程有限公司</w:t>
      </w:r>
    </w:p>
    <w:p>
      <w:pPr>
        <w:spacing w:line="42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温州市智信招标代理有限公司：</w:t>
      </w:r>
    </w:p>
    <w:p>
      <w:pPr>
        <w:shd w:val="clear" w:color="auto" w:fill="FFFFFF"/>
        <w:snapToGrid w:val="0"/>
        <w:spacing w:line="440" w:lineRule="exact"/>
        <w:rPr>
          <w:rFonts w:ascii="宋体" w:hAnsi="宋体" w:cs="宋体"/>
          <w:color w:val="auto"/>
          <w:sz w:val="22"/>
          <w:szCs w:val="22"/>
          <w:highlight w:val="none"/>
        </w:rPr>
      </w:pPr>
    </w:p>
    <w:p>
      <w:pPr>
        <w:widowControl/>
        <w:spacing w:line="44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我方参与</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（采购项目名称、编号）投标响应，现郑重承诺：</w:t>
      </w:r>
    </w:p>
    <w:p>
      <w:pPr>
        <w:widowControl/>
        <w:spacing w:line="44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1.我方符合</w:t>
      </w:r>
      <w:r>
        <w:rPr>
          <w:rFonts w:hint="eastAsia" w:ascii="新宋体" w:hAnsi="新宋体" w:eastAsia="新宋体" w:cs="新宋体"/>
          <w:color w:val="auto"/>
          <w:kern w:val="0"/>
          <w:sz w:val="22"/>
          <w:szCs w:val="22"/>
          <w:highlight w:val="none"/>
        </w:rPr>
        <w:t>《温州市市属国有企业采购管理办法（试行）》第十五条</w:t>
      </w:r>
      <w:r>
        <w:rPr>
          <w:rFonts w:hint="eastAsia" w:ascii="宋体" w:hAnsi="宋体" w:cs="宋体"/>
          <w:color w:val="auto"/>
          <w:sz w:val="22"/>
          <w:szCs w:val="22"/>
          <w:highlight w:val="none"/>
        </w:rPr>
        <w:t>规定的资格条件，即</w:t>
      </w:r>
    </w:p>
    <w:p>
      <w:pPr>
        <w:widowControl/>
        <w:snapToGrid w:val="0"/>
        <w:spacing w:line="440" w:lineRule="exact"/>
        <w:ind w:left="420" w:leftChars="200"/>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（1）我方具有独立承担民事责任的能力；</w:t>
      </w:r>
    </w:p>
    <w:p>
      <w:pPr>
        <w:widowControl/>
        <w:snapToGrid w:val="0"/>
        <w:spacing w:line="440" w:lineRule="exact"/>
        <w:ind w:left="420" w:leftChars="200"/>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（2）我方具有良好的商业信誉和健全的财务会计制度；</w:t>
      </w:r>
    </w:p>
    <w:p>
      <w:pPr>
        <w:widowControl/>
        <w:snapToGrid w:val="0"/>
        <w:spacing w:line="440" w:lineRule="exact"/>
        <w:ind w:left="420" w:leftChars="200"/>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（3）我方具有履行合同所必需的设备和专业技术、售后保障等能力；</w:t>
      </w:r>
    </w:p>
    <w:p>
      <w:pPr>
        <w:widowControl/>
        <w:snapToGrid w:val="0"/>
        <w:spacing w:line="440" w:lineRule="exact"/>
        <w:ind w:left="420" w:leftChars="200"/>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（4）我方有依法缴纳税收和社会保障资金的良好记录；</w:t>
      </w:r>
    </w:p>
    <w:p>
      <w:pPr>
        <w:widowControl/>
        <w:snapToGrid w:val="0"/>
        <w:spacing w:line="440" w:lineRule="exact"/>
        <w:ind w:left="970" w:leftChars="200" w:hanging="550" w:hangingChars="250"/>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（5）我方参加本次采购活动前3年内在经营活动中没有重大违法记录、严重失信行为和行贿记录。</w:t>
      </w:r>
    </w:p>
    <w:p>
      <w:pPr>
        <w:widowControl/>
        <w:snapToGrid w:val="0"/>
        <w:spacing w:line="440" w:lineRule="exact"/>
        <w:ind w:firstLine="440" w:firstLineChars="200"/>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2.到本项目投标截止时间为止，我方未被“信用中国（</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22"/>
          <w:rFonts w:hint="eastAsia" w:ascii="宋体" w:hAnsi="宋体" w:cs="宋体"/>
          <w:color w:val="auto"/>
          <w:kern w:val="0"/>
          <w:sz w:val="22"/>
          <w:szCs w:val="22"/>
          <w:highlight w:val="none"/>
        </w:rPr>
        <w:t>www.creditchina.gov.cn）、</w:t>
      </w:r>
      <w:r>
        <w:rPr>
          <w:rStyle w:val="22"/>
          <w:rFonts w:hint="eastAsia" w:ascii="宋体" w:hAnsi="宋体" w:cs="宋体"/>
          <w:color w:val="auto"/>
          <w:kern w:val="0"/>
          <w:sz w:val="22"/>
          <w:szCs w:val="22"/>
          <w:highlight w:val="none"/>
        </w:rPr>
        <w:fldChar w:fldCharType="end"/>
      </w:r>
      <w:r>
        <w:rPr>
          <w:rFonts w:hint="eastAsia" w:ascii="宋体" w:hAnsi="宋体" w:cs="宋体"/>
          <w:color w:val="auto"/>
          <w:kern w:val="0"/>
          <w:sz w:val="22"/>
          <w:szCs w:val="22"/>
          <w:highlight w:val="none"/>
        </w:rPr>
        <w:t xml:space="preserve"> 中国政府采购网（www.ccgp.gov.cn）列入失信被执行人名单、重大税收违法案件当事人名单、政府采购严重违法失信行为记录名单。</w:t>
      </w:r>
    </w:p>
    <w:p>
      <w:pPr>
        <w:widowControl/>
        <w:snapToGrid w:val="0"/>
        <w:spacing w:line="440" w:lineRule="exact"/>
        <w:ind w:firstLine="440" w:firstLineChars="200"/>
        <w:jc w:val="left"/>
        <w:rPr>
          <w:rFonts w:ascii="宋体" w:hAnsi="宋体" w:cs="宋体"/>
          <w:color w:val="auto"/>
          <w:kern w:val="0"/>
          <w:sz w:val="22"/>
          <w:szCs w:val="22"/>
          <w:highlight w:val="none"/>
        </w:rPr>
      </w:pPr>
    </w:p>
    <w:p>
      <w:pPr>
        <w:widowControl/>
        <w:snapToGrid w:val="0"/>
        <w:spacing w:line="440" w:lineRule="exact"/>
        <w:ind w:left="210" w:leftChars="100"/>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以上承诺如有虚假，</w:t>
      </w:r>
      <w:r>
        <w:rPr>
          <w:rFonts w:hint="eastAsia" w:ascii="宋体" w:hAnsi="宋体" w:cs="宋体"/>
          <w:color w:val="auto"/>
          <w:sz w:val="22"/>
          <w:szCs w:val="22"/>
          <w:highlight w:val="none"/>
        </w:rPr>
        <w:t>愿接受取消</w:t>
      </w:r>
      <w:r>
        <w:rPr>
          <w:rFonts w:hint="eastAsia" w:ascii="宋体" w:hAnsi="宋体" w:cs="宋体"/>
          <w:color w:val="auto"/>
          <w:kern w:val="0"/>
          <w:sz w:val="22"/>
          <w:szCs w:val="22"/>
          <w:highlight w:val="none"/>
        </w:rPr>
        <w:t>我方任何资格（投标/中标/签订合同）</w:t>
      </w:r>
      <w:r>
        <w:rPr>
          <w:rFonts w:hint="eastAsia" w:ascii="宋体" w:hAnsi="宋体" w:cs="宋体"/>
          <w:color w:val="auto"/>
          <w:sz w:val="22"/>
          <w:szCs w:val="22"/>
          <w:highlight w:val="none"/>
        </w:rPr>
        <w:t>及其他任何形式的处理。</w:t>
      </w:r>
    </w:p>
    <w:p>
      <w:pPr>
        <w:pStyle w:val="10"/>
        <w:spacing w:line="600" w:lineRule="exact"/>
        <w:ind w:firstLine="4840" w:firstLineChars="2200"/>
        <w:rPr>
          <w:rFonts w:hAnsi="宋体" w:cs="宋体"/>
          <w:color w:val="auto"/>
          <w:sz w:val="22"/>
          <w:szCs w:val="22"/>
          <w:highlight w:val="none"/>
        </w:rPr>
      </w:pP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供应商名称（盖章）                  </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供应商代表（签字）                   </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日    期   </w:t>
      </w:r>
    </w:p>
    <w:p>
      <w:pPr>
        <w:spacing w:line="380" w:lineRule="exact"/>
        <w:rPr>
          <w:rFonts w:ascii="宋体" w:hAnsi="宋体" w:cs="宋体"/>
          <w:bCs/>
          <w:color w:val="auto"/>
          <w:sz w:val="22"/>
          <w:szCs w:val="22"/>
          <w:highlight w:val="none"/>
        </w:rPr>
      </w:pPr>
    </w:p>
    <w:p>
      <w:pPr>
        <w:spacing w:line="380" w:lineRule="exact"/>
        <w:ind w:left="-358" w:leftChars="-171" w:hanging="1"/>
        <w:jc w:val="center"/>
        <w:rPr>
          <w:rFonts w:ascii="宋体" w:hAnsi="宋体" w:cs="宋体"/>
          <w:bCs/>
          <w:color w:val="auto"/>
          <w:sz w:val="22"/>
          <w:szCs w:val="22"/>
          <w:highlight w:val="none"/>
        </w:rPr>
      </w:pPr>
    </w:p>
    <w:p>
      <w:pPr>
        <w:spacing w:line="380" w:lineRule="exact"/>
        <w:ind w:left="-359" w:leftChars="-171" w:firstLine="440" w:firstLineChars="200"/>
        <w:rPr>
          <w:rFonts w:ascii="宋体" w:hAnsi="宋体" w:cs="宋体"/>
          <w:color w:val="auto"/>
          <w:sz w:val="22"/>
          <w:szCs w:val="22"/>
          <w:highlight w:val="none"/>
          <w:u w:val="single"/>
        </w:rPr>
      </w:pPr>
      <w:r>
        <w:rPr>
          <w:rFonts w:hint="eastAsia" w:ascii="宋体" w:hAnsi="宋体" w:cs="宋体"/>
          <w:color w:val="auto"/>
          <w:sz w:val="22"/>
          <w:szCs w:val="22"/>
          <w:highlight w:val="none"/>
        </w:rPr>
        <w:t>注：</w:t>
      </w:r>
      <w:r>
        <w:rPr>
          <w:rFonts w:hint="eastAsia" w:ascii="宋体" w:hAnsi="宋体" w:cs="宋体"/>
          <w:color w:val="auto"/>
          <w:sz w:val="22"/>
          <w:szCs w:val="22"/>
          <w:highlight w:val="none"/>
          <w:u w:val="single"/>
        </w:rPr>
        <w:t>▲不提交本承诺书按无效标处理。</w:t>
      </w:r>
    </w:p>
    <w:p>
      <w:pPr>
        <w:widowControl/>
        <w:adjustRightInd w:val="0"/>
        <w:snapToGrid w:val="0"/>
        <w:spacing w:line="360" w:lineRule="auto"/>
        <w:jc w:val="center"/>
        <w:rPr>
          <w:rFonts w:ascii="新宋体" w:hAnsi="新宋体" w:eastAsia="新宋体" w:cs="新宋体"/>
          <w:b/>
          <w:color w:val="auto"/>
          <w:kern w:val="0"/>
          <w:sz w:val="28"/>
          <w:szCs w:val="28"/>
          <w:highlight w:val="none"/>
        </w:rPr>
      </w:pPr>
      <w:r>
        <w:rPr>
          <w:rFonts w:hint="eastAsia" w:ascii="新宋体" w:hAnsi="新宋体" w:eastAsia="新宋体" w:cs="新宋体"/>
          <w:b/>
          <w:color w:val="auto"/>
          <w:kern w:val="0"/>
          <w:sz w:val="28"/>
          <w:szCs w:val="28"/>
          <w:highlight w:val="none"/>
        </w:rPr>
        <w:br w:type="page"/>
      </w:r>
      <w:r>
        <w:rPr>
          <w:rFonts w:hint="eastAsia" w:ascii="新宋体" w:hAnsi="新宋体" w:eastAsia="新宋体" w:cs="新宋体"/>
          <w:b/>
          <w:color w:val="auto"/>
          <w:kern w:val="0"/>
          <w:sz w:val="28"/>
          <w:szCs w:val="28"/>
          <w:highlight w:val="none"/>
        </w:rPr>
        <w:t>申请材料真实性声明</w:t>
      </w:r>
    </w:p>
    <w:p>
      <w:pPr>
        <w:widowControl/>
        <w:adjustRightInd w:val="0"/>
        <w:snapToGrid w:val="0"/>
        <w:spacing w:line="360" w:lineRule="auto"/>
        <w:jc w:val="center"/>
        <w:rPr>
          <w:rFonts w:ascii="新宋体" w:hAnsi="新宋体" w:eastAsia="新宋体" w:cs="新宋体"/>
          <w:b/>
          <w:color w:val="auto"/>
          <w:kern w:val="0"/>
          <w:sz w:val="28"/>
          <w:szCs w:val="28"/>
          <w:highlight w:val="none"/>
        </w:rPr>
      </w:pPr>
    </w:p>
    <w:p>
      <w:pPr>
        <w:spacing w:line="420" w:lineRule="exac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eastAsia="zh-CN"/>
        </w:rPr>
        <w:t>温州瓯发市政工程有限公司</w:t>
      </w:r>
    </w:p>
    <w:p>
      <w:pPr>
        <w:spacing w:line="42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温州市智信招标代理有限公司：</w:t>
      </w:r>
    </w:p>
    <w:p>
      <w:pPr>
        <w:widowControl/>
        <w:adjustRightInd w:val="0"/>
        <w:snapToGrid w:val="0"/>
        <w:spacing w:line="360" w:lineRule="auto"/>
        <w:jc w:val="left"/>
        <w:rPr>
          <w:rFonts w:ascii="新宋体" w:hAnsi="新宋体" w:eastAsia="新宋体" w:cs="新宋体"/>
          <w:color w:val="auto"/>
          <w:kern w:val="0"/>
          <w:sz w:val="22"/>
          <w:szCs w:val="22"/>
          <w:highlight w:val="none"/>
        </w:rPr>
      </w:pPr>
    </w:p>
    <w:p>
      <w:pPr>
        <w:widowControl/>
        <w:adjustRightInd w:val="0"/>
        <w:snapToGrid w:val="0"/>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我单位此次响应参与</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（采购项目名称、编号）公开招标活动</w:t>
      </w:r>
      <w:r>
        <w:rPr>
          <w:rFonts w:hint="eastAsia" w:ascii="新宋体" w:hAnsi="新宋体" w:eastAsia="新宋体" w:cs="新宋体"/>
          <w:color w:val="auto"/>
          <w:kern w:val="0"/>
          <w:sz w:val="22"/>
          <w:szCs w:val="22"/>
          <w:highlight w:val="none"/>
        </w:rPr>
        <w:t>所提交的全部材料均真实、合法。如有不实之处，愿负相应的法律责任，并承担由此产生的一切后果。</w:t>
      </w:r>
    </w:p>
    <w:p>
      <w:pPr>
        <w:widowControl/>
        <w:adjustRightInd w:val="0"/>
        <w:snapToGrid w:val="0"/>
        <w:spacing w:line="360" w:lineRule="auto"/>
        <w:ind w:firstLine="440" w:firstLineChars="200"/>
        <w:jc w:val="left"/>
        <w:rPr>
          <w:rFonts w:ascii="新宋体" w:hAnsi="新宋体" w:eastAsia="新宋体" w:cs="新宋体"/>
          <w:color w:val="auto"/>
          <w:kern w:val="0"/>
          <w:sz w:val="22"/>
          <w:szCs w:val="22"/>
          <w:highlight w:val="none"/>
        </w:rPr>
      </w:pPr>
    </w:p>
    <w:p>
      <w:pPr>
        <w:widowControl/>
        <w:adjustRightInd w:val="0"/>
        <w:snapToGrid w:val="0"/>
        <w:spacing w:line="360" w:lineRule="auto"/>
        <w:ind w:firstLine="440" w:firstLineChars="200"/>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特此声明。</w:t>
      </w:r>
    </w:p>
    <w:p>
      <w:pPr>
        <w:widowControl/>
        <w:adjustRightInd w:val="0"/>
        <w:snapToGrid w:val="0"/>
        <w:spacing w:line="360" w:lineRule="auto"/>
        <w:ind w:firstLine="440" w:firstLineChars="200"/>
        <w:jc w:val="left"/>
        <w:rPr>
          <w:rFonts w:ascii="新宋体" w:hAnsi="新宋体" w:eastAsia="新宋体" w:cs="新宋体"/>
          <w:color w:val="auto"/>
          <w:kern w:val="0"/>
          <w:sz w:val="22"/>
          <w:szCs w:val="22"/>
          <w:highlight w:val="none"/>
        </w:rPr>
      </w:pPr>
    </w:p>
    <w:p>
      <w:pPr>
        <w:spacing w:line="360" w:lineRule="auto"/>
        <w:rPr>
          <w:rFonts w:ascii="宋体" w:hAnsi="宋体"/>
          <w:color w:val="auto"/>
          <w:sz w:val="22"/>
          <w:szCs w:val="22"/>
          <w:highlight w:val="none"/>
        </w:rPr>
      </w:pPr>
      <w:r>
        <w:rPr>
          <w:rFonts w:hint="eastAsia" w:ascii="宋体" w:hAnsi="宋体"/>
          <w:color w:val="auto"/>
          <w:sz w:val="22"/>
          <w:szCs w:val="22"/>
          <w:highlight w:val="none"/>
        </w:rPr>
        <w:t xml:space="preserve">供应商名称（盖章）                  </w:t>
      </w:r>
    </w:p>
    <w:p>
      <w:pPr>
        <w:spacing w:line="360" w:lineRule="auto"/>
        <w:rPr>
          <w:rFonts w:ascii="宋体" w:hAnsi="宋体"/>
          <w:color w:val="auto"/>
          <w:sz w:val="22"/>
          <w:szCs w:val="22"/>
          <w:highlight w:val="none"/>
        </w:rPr>
      </w:pPr>
      <w:r>
        <w:rPr>
          <w:rFonts w:hint="eastAsia" w:ascii="宋体" w:hAnsi="宋体"/>
          <w:color w:val="auto"/>
          <w:sz w:val="22"/>
          <w:szCs w:val="22"/>
          <w:highlight w:val="none"/>
        </w:rPr>
        <w:t xml:space="preserve">供应商代表（签字）                   </w:t>
      </w:r>
    </w:p>
    <w:p>
      <w:pPr>
        <w:spacing w:line="360" w:lineRule="auto"/>
        <w:rPr>
          <w:rFonts w:ascii="宋体" w:hAnsi="宋体"/>
          <w:color w:val="auto"/>
          <w:sz w:val="22"/>
          <w:szCs w:val="22"/>
          <w:highlight w:val="none"/>
        </w:rPr>
      </w:pPr>
      <w:r>
        <w:rPr>
          <w:rFonts w:hint="eastAsia" w:ascii="宋体" w:hAnsi="宋体"/>
          <w:color w:val="auto"/>
          <w:sz w:val="22"/>
          <w:szCs w:val="22"/>
          <w:highlight w:val="none"/>
        </w:rPr>
        <w:t xml:space="preserve">日    期   </w:t>
      </w:r>
    </w:p>
    <w:p>
      <w:pPr>
        <w:spacing w:line="440" w:lineRule="exact"/>
        <w:rPr>
          <w:rFonts w:ascii="宋体" w:hAnsi="宋体" w:cs="宋体"/>
          <w:color w:val="auto"/>
          <w:sz w:val="22"/>
          <w:szCs w:val="22"/>
          <w:highlight w:val="none"/>
          <w:u w:val="single"/>
        </w:rPr>
      </w:pPr>
      <w:r>
        <w:rPr>
          <w:rFonts w:hint="eastAsia" w:ascii="宋体" w:hAnsi="宋体" w:cs="宋体"/>
          <w:color w:val="auto"/>
          <w:sz w:val="22"/>
          <w:szCs w:val="22"/>
          <w:highlight w:val="none"/>
          <w:u w:val="single"/>
        </w:rPr>
        <w:t xml:space="preserve">                              </w:t>
      </w:r>
    </w:p>
    <w:p>
      <w:pPr>
        <w:pStyle w:val="17"/>
        <w:ind w:firstLine="220"/>
        <w:rPr>
          <w:rFonts w:ascii="宋体" w:hAnsi="宋体" w:cs="宋体"/>
          <w:color w:val="auto"/>
          <w:sz w:val="22"/>
          <w:szCs w:val="22"/>
          <w:highlight w:val="none"/>
          <w:u w:val="single"/>
        </w:rPr>
      </w:pPr>
    </w:p>
    <w:p>
      <w:pPr>
        <w:spacing w:line="360" w:lineRule="auto"/>
        <w:rPr>
          <w:rFonts w:ascii="宋体" w:hAnsi="宋体" w:cs="宋体"/>
          <w:color w:val="auto"/>
          <w:sz w:val="22"/>
          <w:szCs w:val="22"/>
          <w:highlight w:val="none"/>
        </w:rPr>
      </w:pPr>
    </w:p>
    <w:p>
      <w:pPr>
        <w:pStyle w:val="17"/>
        <w:ind w:firstLine="200"/>
        <w:rPr>
          <w:rFonts w:ascii="宋体" w:hAnsi="宋体" w:cs="宋体"/>
          <w:color w:val="auto"/>
          <w:highlight w:val="none"/>
        </w:rPr>
      </w:pPr>
    </w:p>
    <w:p>
      <w:pPr>
        <w:widowControl/>
        <w:adjustRightInd w:val="0"/>
        <w:snapToGrid w:val="0"/>
        <w:spacing w:line="360" w:lineRule="auto"/>
        <w:ind w:firstLine="440" w:firstLineChars="200"/>
        <w:jc w:val="left"/>
        <w:rPr>
          <w:rFonts w:ascii="宋体" w:hAnsi="宋体" w:cs="宋体"/>
          <w:color w:val="auto"/>
          <w:kern w:val="0"/>
          <w:sz w:val="22"/>
          <w:szCs w:val="22"/>
          <w:highlight w:val="none"/>
        </w:rPr>
      </w:pPr>
    </w:p>
    <w:p>
      <w:pPr>
        <w:spacing w:line="380" w:lineRule="exact"/>
        <w:rPr>
          <w:rFonts w:ascii="宋体" w:hAnsi="宋体" w:cs="宋体"/>
          <w:color w:val="auto"/>
          <w:sz w:val="22"/>
          <w:szCs w:val="22"/>
          <w:highlight w:val="none"/>
        </w:rPr>
      </w:pPr>
    </w:p>
    <w:p>
      <w:pPr>
        <w:spacing w:line="380" w:lineRule="exact"/>
        <w:rPr>
          <w:rFonts w:ascii="宋体" w:hAnsi="宋体" w:cs="宋体"/>
          <w:color w:val="auto"/>
          <w:sz w:val="22"/>
          <w:szCs w:val="22"/>
          <w:highlight w:val="none"/>
        </w:rPr>
      </w:pPr>
    </w:p>
    <w:p>
      <w:pPr>
        <w:spacing w:line="380" w:lineRule="exact"/>
        <w:rPr>
          <w:rFonts w:ascii="宋体" w:hAnsi="宋体" w:cs="宋体"/>
          <w:color w:val="auto"/>
          <w:sz w:val="22"/>
          <w:szCs w:val="22"/>
          <w:highlight w:val="none"/>
        </w:rPr>
      </w:pPr>
    </w:p>
    <w:p>
      <w:pPr>
        <w:spacing w:line="440" w:lineRule="exact"/>
        <w:rPr>
          <w:rFonts w:ascii="新宋体" w:hAnsi="新宋体" w:eastAsia="新宋体"/>
          <w:color w:val="auto"/>
          <w:sz w:val="22"/>
          <w:szCs w:val="22"/>
          <w:highlight w:val="none"/>
          <w:u w:val="single"/>
        </w:rPr>
      </w:pPr>
      <w:r>
        <w:rPr>
          <w:rFonts w:hint="eastAsia" w:ascii="宋体" w:hAnsi="宋体" w:cs="宋体"/>
          <w:color w:val="auto"/>
          <w:sz w:val="22"/>
          <w:szCs w:val="22"/>
          <w:highlight w:val="none"/>
        </w:rPr>
        <w:t>注：</w:t>
      </w:r>
      <w:r>
        <w:rPr>
          <w:rFonts w:hint="eastAsia" w:ascii="宋体" w:hAnsi="宋体" w:cs="宋体"/>
          <w:color w:val="auto"/>
          <w:sz w:val="22"/>
          <w:szCs w:val="22"/>
          <w:highlight w:val="none"/>
          <w:u w:val="single"/>
        </w:rPr>
        <w:t>▲不提交本承诺书按无效标处理。</w:t>
      </w:r>
    </w:p>
    <w:p>
      <w:pPr>
        <w:pStyle w:val="17"/>
        <w:ind w:firstLine="200"/>
        <w:rPr>
          <w:rFonts w:ascii="新宋体" w:hAnsi="新宋体" w:eastAsia="新宋体" w:cs="新宋体"/>
          <w:color w:val="auto"/>
          <w:highlight w:val="none"/>
        </w:rPr>
      </w:pPr>
    </w:p>
    <w:p>
      <w:pPr>
        <w:pStyle w:val="3"/>
        <w:jc w:val="left"/>
        <w:rPr>
          <w:rFonts w:ascii="新宋体" w:hAnsi="新宋体" w:eastAsia="新宋体" w:cs="新宋体"/>
          <w:b w:val="0"/>
          <w:color w:val="auto"/>
          <w:szCs w:val="21"/>
          <w:highlight w:val="none"/>
        </w:rPr>
      </w:pPr>
      <w:r>
        <w:rPr>
          <w:rFonts w:hint="eastAsia" w:ascii="新宋体" w:hAnsi="新宋体" w:eastAsia="新宋体" w:cs="新宋体"/>
          <w:b w:val="0"/>
          <w:color w:val="auto"/>
          <w:szCs w:val="21"/>
          <w:highlight w:val="none"/>
        </w:rPr>
        <w:br w:type="page"/>
      </w:r>
    </w:p>
    <w:p>
      <w:pPr>
        <w:spacing w:before="120" w:beforeLines="50" w:after="120" w:afterLines="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（技术资信标封面，供参考）</w:t>
      </w:r>
    </w:p>
    <w:p>
      <w:pPr>
        <w:rPr>
          <w:rFonts w:ascii="新宋体" w:hAnsi="新宋体" w:eastAsia="新宋体" w:cs="新宋体"/>
          <w:color w:val="auto"/>
          <w:highlight w:val="none"/>
        </w:rPr>
      </w:pPr>
    </w:p>
    <w:p>
      <w:pPr>
        <w:rPr>
          <w:rFonts w:ascii="新宋体" w:hAnsi="新宋体" w:eastAsia="新宋体" w:cs="新宋体"/>
          <w:color w:val="auto"/>
          <w:highlight w:val="none"/>
        </w:rPr>
      </w:pPr>
    </w:p>
    <w:p>
      <w:pPr>
        <w:rPr>
          <w:rFonts w:ascii="新宋体" w:hAnsi="新宋体" w:eastAsia="新宋体" w:cs="新宋体"/>
          <w:color w:val="auto"/>
          <w:highlight w:val="non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（项目名称）</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投标文件</w:t>
      </w:r>
    </w:p>
    <w:p>
      <w:pPr>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pStyle w:val="17"/>
        <w:ind w:firstLine="280"/>
        <w:rPr>
          <w:rFonts w:ascii="新宋体" w:hAnsi="新宋体" w:eastAsia="新宋体" w:cs="新宋体"/>
          <w:color w:val="auto"/>
          <w:sz w:val="28"/>
          <w:szCs w:val="28"/>
          <w:highlight w:val="none"/>
        </w:rPr>
      </w:pPr>
    </w:p>
    <w:p>
      <w:pPr>
        <w:pStyle w:val="17"/>
        <w:ind w:firstLine="280"/>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jc w:val="center"/>
        <w:rPr>
          <w:rFonts w:ascii="新宋体" w:hAnsi="新宋体" w:eastAsia="新宋体" w:cs="新宋体"/>
          <w:color w:val="auto"/>
          <w:sz w:val="52"/>
          <w:szCs w:val="52"/>
          <w:highlight w:val="none"/>
        </w:rPr>
      </w:pPr>
      <w:r>
        <w:rPr>
          <w:rFonts w:hint="eastAsia" w:ascii="新宋体" w:hAnsi="新宋体" w:eastAsia="新宋体" w:cs="新宋体"/>
          <w:color w:val="auto"/>
          <w:sz w:val="52"/>
          <w:szCs w:val="52"/>
          <w:highlight w:val="none"/>
        </w:rPr>
        <w:t>技 术 资 信 标</w:t>
      </w: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pStyle w:val="17"/>
        <w:ind w:firstLine="200"/>
        <w:rPr>
          <w:rFonts w:ascii="新宋体" w:hAnsi="新宋体" w:eastAsia="新宋体" w:cs="新宋体"/>
          <w:color w:val="auto"/>
          <w:highlight w:val="none"/>
        </w:rPr>
      </w:pPr>
    </w:p>
    <w:p>
      <w:pPr>
        <w:spacing w:line="360" w:lineRule="auto"/>
        <w:rPr>
          <w:rFonts w:ascii="新宋体" w:hAnsi="新宋体" w:eastAsia="新宋体" w:cs="新宋体"/>
          <w:color w:val="auto"/>
          <w:szCs w:val="21"/>
          <w:highlight w:val="non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投标人：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（盖单位章）</w:t>
      </w:r>
    </w:p>
    <w:p>
      <w:pPr>
        <w:rPr>
          <w:rFonts w:ascii="新宋体" w:hAnsi="新宋体" w:eastAsia="新宋体" w:cs="新宋体"/>
          <w:color w:val="auto"/>
          <w:sz w:val="28"/>
          <w:szCs w:val="28"/>
          <w:highlight w:val="none"/>
          <w:u w:val="singl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法定代表人或其委托代理人：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（签字或盖章）</w:t>
      </w:r>
    </w:p>
    <w:p>
      <w:pPr>
        <w:rPr>
          <w:rFonts w:ascii="新宋体" w:hAnsi="新宋体" w:eastAsia="新宋体" w:cs="新宋体"/>
          <w:color w:val="auto"/>
          <w:sz w:val="28"/>
          <w:szCs w:val="28"/>
          <w:highlight w:val="non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年</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月</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日</w:t>
      </w:r>
    </w:p>
    <w:p>
      <w:pPr>
        <w:spacing w:line="460" w:lineRule="exact"/>
        <w:jc w:val="center"/>
        <w:rPr>
          <w:rFonts w:ascii="新宋体" w:hAnsi="新宋体" w:eastAsia="新宋体" w:cs="新宋体"/>
          <w:b/>
          <w:bCs/>
          <w:color w:val="auto"/>
          <w:sz w:val="28"/>
          <w:szCs w:val="28"/>
          <w:highlight w:val="none"/>
        </w:rPr>
      </w:pPr>
      <w:r>
        <w:rPr>
          <w:rFonts w:hint="eastAsia" w:ascii="新宋体" w:hAnsi="新宋体" w:eastAsia="新宋体" w:cs="新宋体"/>
          <w:color w:val="auto"/>
          <w:highlight w:val="none"/>
        </w:rPr>
        <w:br w:type="page"/>
      </w:r>
      <w:r>
        <w:rPr>
          <w:rFonts w:hint="eastAsia" w:ascii="新宋体" w:hAnsi="新宋体" w:eastAsia="新宋体" w:cs="新宋体"/>
          <w:b/>
          <w:bCs/>
          <w:color w:val="auto"/>
          <w:sz w:val="28"/>
          <w:szCs w:val="28"/>
          <w:highlight w:val="none"/>
        </w:rPr>
        <w:t>目  录</w:t>
      </w:r>
    </w:p>
    <w:p>
      <w:pPr>
        <w:spacing w:line="360" w:lineRule="auto"/>
        <w:jc w:val="center"/>
        <w:rPr>
          <w:rFonts w:ascii="新宋体" w:hAnsi="新宋体" w:eastAsia="新宋体" w:cs="新宋体"/>
          <w:color w:val="auto"/>
          <w:sz w:val="24"/>
          <w:highlight w:val="none"/>
        </w:rPr>
      </w:pPr>
    </w:p>
    <w:p>
      <w:pPr>
        <w:numPr>
          <w:ilvl w:val="0"/>
          <w:numId w:val="8"/>
        </w:numPr>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投标函</w:t>
      </w:r>
    </w:p>
    <w:p>
      <w:pPr>
        <w:numPr>
          <w:ilvl w:val="0"/>
          <w:numId w:val="8"/>
        </w:numPr>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技术规格、商务条款偏离表</w:t>
      </w:r>
    </w:p>
    <w:p>
      <w:pPr>
        <w:numPr>
          <w:ilvl w:val="0"/>
          <w:numId w:val="8"/>
        </w:numPr>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设备供货范围详细清单、随机附件及备品备件、专用工具一览表、供业主选购的设备及备品备件一览表</w:t>
      </w:r>
    </w:p>
    <w:p>
      <w:pPr>
        <w:numPr>
          <w:ilvl w:val="0"/>
          <w:numId w:val="8"/>
        </w:numPr>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设备的主要技术、结构、性能、特点和质量水平的详细描述</w:t>
      </w:r>
    </w:p>
    <w:p>
      <w:pPr>
        <w:numPr>
          <w:ilvl w:val="0"/>
          <w:numId w:val="8"/>
        </w:numPr>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设备的安装实施方案、验收标准和验收方法的详细介绍</w:t>
      </w:r>
    </w:p>
    <w:p>
      <w:pPr>
        <w:numPr>
          <w:ilvl w:val="0"/>
          <w:numId w:val="8"/>
        </w:numPr>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设备的质量控制、质量保证的详细介绍</w:t>
      </w:r>
    </w:p>
    <w:p>
      <w:pPr>
        <w:numPr>
          <w:ilvl w:val="0"/>
          <w:numId w:val="8"/>
        </w:numPr>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售后服务详细的计划方案说明与承诺、产品的质量保证期，故障响应修复时间方式及保障措施，质保期外服务收费内容、产品配件价格清单及保证措施</w:t>
      </w:r>
    </w:p>
    <w:p>
      <w:pPr>
        <w:numPr>
          <w:ilvl w:val="0"/>
          <w:numId w:val="8"/>
        </w:numPr>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项目实施周期及其保证措施</w:t>
      </w:r>
    </w:p>
    <w:p>
      <w:pPr>
        <w:numPr>
          <w:ilvl w:val="0"/>
          <w:numId w:val="8"/>
        </w:numPr>
        <w:spacing w:line="460" w:lineRule="exact"/>
        <w:rPr>
          <w:rFonts w:ascii="新宋体" w:hAnsi="新宋体" w:eastAsia="新宋体" w:cs="新宋体"/>
          <w:b/>
          <w:bCs/>
          <w:color w:val="auto"/>
          <w:sz w:val="22"/>
          <w:szCs w:val="22"/>
          <w:highlight w:val="none"/>
        </w:rPr>
      </w:pPr>
      <w:r>
        <w:rPr>
          <w:rFonts w:hint="eastAsia" w:ascii="新宋体" w:hAnsi="新宋体" w:eastAsia="新宋体" w:cs="新宋体"/>
          <w:color w:val="auto"/>
          <w:sz w:val="22"/>
          <w:szCs w:val="22"/>
          <w:highlight w:val="none"/>
        </w:rPr>
        <w:t>投标供应商</w:t>
      </w:r>
      <w:r>
        <w:rPr>
          <w:rFonts w:hint="eastAsia" w:ascii="新宋体" w:hAnsi="新宋体" w:eastAsia="新宋体" w:cs="新宋体"/>
          <w:color w:val="auto"/>
          <w:sz w:val="22"/>
          <w:szCs w:val="22"/>
          <w:highlight w:val="none"/>
          <w:lang w:eastAsia="zh-CN"/>
        </w:rPr>
        <w:t>202</w:t>
      </w: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lang w:eastAsia="zh-CN"/>
        </w:rPr>
        <w:t>年至今</w:t>
      </w:r>
      <w:r>
        <w:rPr>
          <w:rFonts w:hint="eastAsia" w:ascii="新宋体" w:hAnsi="新宋体" w:eastAsia="新宋体" w:cs="新宋体"/>
          <w:color w:val="auto"/>
          <w:sz w:val="22"/>
          <w:szCs w:val="22"/>
          <w:highlight w:val="none"/>
        </w:rPr>
        <w:t>同类产品销售业绩</w:t>
      </w:r>
      <w:r>
        <w:rPr>
          <w:rFonts w:hint="eastAsia" w:ascii="新宋体" w:hAnsi="新宋体" w:eastAsia="新宋体" w:cs="新宋体"/>
          <w:color w:val="auto"/>
          <w:sz w:val="22"/>
          <w:szCs w:val="22"/>
          <w:highlight w:val="none"/>
        </w:rPr>
        <w:br w:type="page"/>
      </w:r>
      <w:r>
        <w:rPr>
          <w:rFonts w:hint="eastAsia" w:ascii="新宋体" w:hAnsi="新宋体" w:eastAsia="新宋体" w:cs="新宋体"/>
          <w:b/>
          <w:bCs/>
          <w:color w:val="auto"/>
          <w:sz w:val="22"/>
          <w:szCs w:val="22"/>
          <w:highlight w:val="none"/>
        </w:rPr>
        <w:t>附件一</w:t>
      </w:r>
    </w:p>
    <w:p>
      <w:pPr>
        <w:spacing w:line="460" w:lineRule="exact"/>
        <w:jc w:val="center"/>
        <w:rPr>
          <w:rFonts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投 标 函</w:t>
      </w:r>
    </w:p>
    <w:p>
      <w:pPr>
        <w:spacing w:line="42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温州瓯发市政工程有限公司</w:t>
      </w:r>
      <w:r>
        <w:rPr>
          <w:rFonts w:hint="eastAsia" w:ascii="新宋体" w:hAnsi="新宋体" w:eastAsia="新宋体" w:cs="新宋体"/>
          <w:color w:val="auto"/>
          <w:sz w:val="22"/>
          <w:szCs w:val="22"/>
          <w:highlight w:val="none"/>
        </w:rPr>
        <w:t>：</w:t>
      </w:r>
    </w:p>
    <w:p>
      <w:pPr>
        <w:spacing w:line="42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温州市智信招标代理有限公司：</w:t>
      </w:r>
    </w:p>
    <w:p>
      <w:pPr>
        <w:spacing w:line="420" w:lineRule="exact"/>
        <w:ind w:firstLine="440" w:firstLineChars="2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根据贵方为</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项目（采购编号：</w:t>
      </w:r>
      <w:r>
        <w:rPr>
          <w:rFonts w:hint="eastAsia" w:ascii="新宋体" w:hAnsi="新宋体" w:eastAsia="新宋体" w:cs="新宋体"/>
          <w:b/>
          <w:color w:val="auto"/>
          <w:sz w:val="22"/>
          <w:szCs w:val="22"/>
          <w:highlight w:val="none"/>
          <w:u w:val="single"/>
        </w:rPr>
        <w:t xml:space="preserve">               </w:t>
      </w:r>
      <w:r>
        <w:rPr>
          <w:rFonts w:hint="eastAsia" w:ascii="新宋体" w:hAnsi="新宋体" w:eastAsia="新宋体" w:cs="新宋体"/>
          <w:b/>
          <w:color w:val="auto"/>
          <w:sz w:val="22"/>
          <w:szCs w:val="22"/>
          <w:highlight w:val="none"/>
        </w:rPr>
        <w:t xml:space="preserve"> </w:t>
      </w:r>
      <w:r>
        <w:rPr>
          <w:rFonts w:hint="eastAsia" w:ascii="新宋体" w:hAnsi="新宋体" w:eastAsia="新宋体" w:cs="新宋体"/>
          <w:color w:val="auto"/>
          <w:sz w:val="22"/>
          <w:szCs w:val="22"/>
          <w:highlight w:val="none"/>
        </w:rPr>
        <w:t>）的投标邀请，我方</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（投标人名称）作为投标人正式授权</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（授权代表全名，职务）代表我方处理有关本投标的一切事宜。</w:t>
      </w:r>
    </w:p>
    <w:p>
      <w:pPr>
        <w:autoSpaceDE w:val="0"/>
        <w:autoSpaceDN w:val="0"/>
        <w:adjustRightInd w:val="0"/>
        <w:spacing w:line="420" w:lineRule="atLeast"/>
        <w:ind w:firstLine="440" w:firstLineChars="200"/>
        <w:rPr>
          <w:rFonts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在此提交的投标文件中，包括如下内容，并已分别单独密封装袋：</w:t>
      </w:r>
    </w:p>
    <w:p>
      <w:pPr>
        <w:numPr>
          <w:ilvl w:val="0"/>
          <w:numId w:val="9"/>
        </w:numPr>
        <w:spacing w:line="420" w:lineRule="exact"/>
        <w:rPr>
          <w:rFonts w:ascii="新宋体" w:hAnsi="新宋体" w:eastAsia="新宋体" w:cs="新宋体"/>
          <w:color w:val="auto"/>
          <w:szCs w:val="21"/>
          <w:highlight w:val="none"/>
        </w:rPr>
      </w:pPr>
      <w:r>
        <w:rPr>
          <w:rFonts w:hint="eastAsia" w:ascii="新宋体" w:hAnsi="新宋体" w:eastAsia="新宋体" w:cs="新宋体"/>
          <w:color w:val="auto"/>
          <w:sz w:val="22"/>
          <w:highlight w:val="none"/>
        </w:rPr>
        <w:t>按“投标人须知”要求编制的投标文件资格审查资料【正本一份，副本四份】；</w:t>
      </w:r>
    </w:p>
    <w:p>
      <w:pPr>
        <w:numPr>
          <w:ilvl w:val="0"/>
          <w:numId w:val="9"/>
        </w:numPr>
        <w:spacing w:line="420" w:lineRule="exact"/>
        <w:rPr>
          <w:rFonts w:ascii="新宋体" w:hAnsi="新宋体" w:eastAsia="新宋体" w:cs="新宋体"/>
          <w:color w:val="auto"/>
          <w:szCs w:val="21"/>
          <w:highlight w:val="none"/>
        </w:rPr>
      </w:pPr>
      <w:r>
        <w:rPr>
          <w:rFonts w:hint="eastAsia" w:ascii="新宋体" w:hAnsi="新宋体" w:eastAsia="新宋体" w:cs="新宋体"/>
          <w:color w:val="auto"/>
          <w:sz w:val="22"/>
          <w:highlight w:val="none"/>
        </w:rPr>
        <w:t>按“投标人须知”要求编制的投标文件技术资信标【正本一份，副本四份】；</w:t>
      </w:r>
    </w:p>
    <w:p>
      <w:pPr>
        <w:numPr>
          <w:ilvl w:val="0"/>
          <w:numId w:val="9"/>
        </w:numPr>
        <w:spacing w:line="420" w:lineRule="exact"/>
        <w:rPr>
          <w:rFonts w:ascii="新宋体" w:hAnsi="新宋体" w:eastAsia="新宋体" w:cs="新宋体"/>
          <w:color w:val="auto"/>
          <w:szCs w:val="21"/>
          <w:highlight w:val="none"/>
        </w:rPr>
      </w:pPr>
      <w:r>
        <w:rPr>
          <w:rFonts w:hint="eastAsia" w:ascii="新宋体" w:hAnsi="新宋体" w:eastAsia="新宋体" w:cs="新宋体"/>
          <w:color w:val="auto"/>
          <w:sz w:val="22"/>
          <w:highlight w:val="none"/>
        </w:rPr>
        <w:t>按“投标人须知”要求编制的投标文件商务报价标【正本一份，副本四份】。</w:t>
      </w:r>
    </w:p>
    <w:p>
      <w:pPr>
        <w:tabs>
          <w:tab w:val="left" w:pos="8124"/>
        </w:tabs>
        <w:autoSpaceDE w:val="0"/>
        <w:autoSpaceDN w:val="0"/>
        <w:adjustRightInd w:val="0"/>
        <w:spacing w:line="420" w:lineRule="atLeast"/>
        <w:ind w:firstLine="440"/>
        <w:rPr>
          <w:rFonts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我方已完全明白采购文件的所有条款要求，并重申以下几点：</w:t>
      </w:r>
      <w:r>
        <w:rPr>
          <w:rFonts w:ascii="新宋体" w:hAnsi="新宋体" w:eastAsia="新宋体" w:cs="新宋体"/>
          <w:color w:val="auto"/>
          <w:kern w:val="0"/>
          <w:sz w:val="22"/>
          <w:szCs w:val="22"/>
          <w:highlight w:val="none"/>
          <w:lang w:val="zh-CN"/>
        </w:rPr>
        <w:tab/>
      </w:r>
    </w:p>
    <w:p>
      <w:pPr>
        <w:numPr>
          <w:ilvl w:val="0"/>
          <w:numId w:val="10"/>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已详细阅读全部采购文件，包括采购文件补充文件（如果有，包括相关的补充、更正、澄清公告和文件）、参考资料及有关附件，确认无误。我方完全理解并接受采购文件的各项规定和要求。</w:t>
      </w:r>
    </w:p>
    <w:p>
      <w:pPr>
        <w:numPr>
          <w:ilvl w:val="0"/>
          <w:numId w:val="10"/>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同意提供按照贵方可能要求的与投标有关的一切数据或资料等。若贵方需要，我方愿意提供我方作出的一切承诺的证明材料。</w:t>
      </w:r>
    </w:p>
    <w:p>
      <w:pPr>
        <w:numPr>
          <w:ilvl w:val="0"/>
          <w:numId w:val="10"/>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如中标，保证按照采购文件要求及投标文件的承诺与采购人签订合同，保证履行合同条款。</w:t>
      </w:r>
    </w:p>
    <w:p>
      <w:pPr>
        <w:numPr>
          <w:ilvl w:val="0"/>
          <w:numId w:val="10"/>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同意在采购文件中投标人须知规定的开标日期起遵守本投标书中的承诺且在投标有效期满之前均具有约束力。</w:t>
      </w:r>
    </w:p>
    <w:p>
      <w:pPr>
        <w:numPr>
          <w:ilvl w:val="0"/>
          <w:numId w:val="10"/>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如果在开标后规定的投标有效期内撤回投标，我方的投标保证金可被贵方没收。</w:t>
      </w:r>
    </w:p>
    <w:p>
      <w:pPr>
        <w:numPr>
          <w:ilvl w:val="0"/>
          <w:numId w:val="10"/>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完全理解贵方不一定要接受最低价的投标。</w:t>
      </w:r>
    </w:p>
    <w:p>
      <w:pPr>
        <w:numPr>
          <w:ilvl w:val="0"/>
          <w:numId w:val="10"/>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如有列情形之一的，我方愿意被取消中标资格（如中标），并可没收我方的投标保证金，同时继续承担其他一切法律后果，并不再寻求任何旨在减轻或免除法律责任的解释：</w:t>
      </w:r>
    </w:p>
    <w:p>
      <w:pPr>
        <w:spacing w:line="420" w:lineRule="exact"/>
        <w:ind w:firstLine="440" w:firstLineChars="200"/>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(1)提供虚假材料（承诺）谋取中标、成交的；</w:t>
      </w:r>
    </w:p>
    <w:p>
      <w:pPr>
        <w:spacing w:line="420" w:lineRule="exact"/>
        <w:ind w:firstLine="440" w:firstLineChars="200"/>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(2)采取不正当手段诋毁、排挤其他投标人的；</w:t>
      </w:r>
    </w:p>
    <w:p>
      <w:pPr>
        <w:spacing w:line="420" w:lineRule="exact"/>
        <w:ind w:firstLine="440" w:firstLineChars="200"/>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(3)与采购人、其它投标人或者采购代理机构恶意串通的；</w:t>
      </w:r>
    </w:p>
    <w:p>
      <w:pPr>
        <w:spacing w:line="420" w:lineRule="exact"/>
        <w:ind w:firstLine="440" w:firstLineChars="200"/>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(4)向采购人、采购代理机构行贿或者提供其他不正当利益的；</w:t>
      </w:r>
    </w:p>
    <w:p>
      <w:pPr>
        <w:spacing w:line="420" w:lineRule="exact"/>
        <w:ind w:firstLine="440" w:firstLineChars="200"/>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(5)在采购过程中与采购人进行协商谈判的；</w:t>
      </w:r>
    </w:p>
    <w:p>
      <w:pPr>
        <w:spacing w:line="420" w:lineRule="exact"/>
        <w:ind w:firstLine="440" w:firstLineChars="200"/>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(6)拒绝有关部门监督检查或提供虚假情况的。</w:t>
      </w:r>
    </w:p>
    <w:p>
      <w:pPr>
        <w:numPr>
          <w:ilvl w:val="0"/>
          <w:numId w:val="10"/>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所有与本投标有关的函件请发往下列地址：</w:t>
      </w:r>
    </w:p>
    <w:p>
      <w:pPr>
        <w:spacing w:line="420" w:lineRule="exact"/>
        <w:ind w:firstLine="435"/>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地址</w:t>
      </w:r>
      <w:r>
        <w:rPr>
          <w:rFonts w:hint="eastAsia" w:ascii="新宋体" w:hAnsi="新宋体" w:eastAsia="新宋体" w:cs="新宋体"/>
          <w:color w:val="auto"/>
          <w:sz w:val="22"/>
          <w:szCs w:val="22"/>
          <w:highlight w:val="none"/>
          <w:u w:val="single"/>
        </w:rPr>
        <w:t xml:space="preserve">                           </w:t>
      </w:r>
    </w:p>
    <w:p>
      <w:pPr>
        <w:spacing w:line="420" w:lineRule="exact"/>
        <w:ind w:firstLine="435"/>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电话</w:t>
      </w:r>
      <w:r>
        <w:rPr>
          <w:rFonts w:hint="eastAsia" w:ascii="新宋体" w:hAnsi="新宋体" w:eastAsia="新宋体" w:cs="新宋体"/>
          <w:color w:val="auto"/>
          <w:sz w:val="22"/>
          <w:szCs w:val="22"/>
          <w:highlight w:val="none"/>
          <w:u w:val="single"/>
        </w:rPr>
        <w:t xml:space="preserve">                           </w:t>
      </w:r>
    </w:p>
    <w:p>
      <w:pPr>
        <w:spacing w:line="420" w:lineRule="exact"/>
        <w:ind w:firstLine="435"/>
        <w:rPr>
          <w:rFonts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 xml:space="preserve">   传真</w:t>
      </w:r>
      <w:r>
        <w:rPr>
          <w:rFonts w:hint="eastAsia" w:ascii="新宋体" w:hAnsi="新宋体" w:eastAsia="新宋体" w:cs="新宋体"/>
          <w:color w:val="auto"/>
          <w:sz w:val="22"/>
          <w:szCs w:val="22"/>
          <w:highlight w:val="none"/>
          <w:u w:val="single"/>
        </w:rPr>
        <w:t xml:space="preserve">                           </w:t>
      </w:r>
    </w:p>
    <w:p>
      <w:pPr>
        <w:spacing w:line="420" w:lineRule="exact"/>
        <w:ind w:firstLine="770" w:firstLineChars="3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电子邮件</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 xml:space="preserve">                       </w:t>
      </w:r>
    </w:p>
    <w:p>
      <w:pPr>
        <w:spacing w:line="420" w:lineRule="exact"/>
        <w:ind w:firstLine="435"/>
        <w:rPr>
          <w:rFonts w:ascii="新宋体" w:hAnsi="新宋体" w:eastAsia="新宋体" w:cs="新宋体"/>
          <w:color w:val="auto"/>
          <w:sz w:val="22"/>
          <w:szCs w:val="22"/>
          <w:highlight w:val="none"/>
        </w:rPr>
      </w:pPr>
    </w:p>
    <w:p>
      <w:pPr>
        <w:spacing w:line="420" w:lineRule="exact"/>
        <w:ind w:firstLine="462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投标人名称（盖章）</w:t>
      </w:r>
      <w:r>
        <w:rPr>
          <w:rFonts w:hint="eastAsia" w:ascii="新宋体" w:hAnsi="新宋体" w:eastAsia="新宋体" w:cs="新宋体"/>
          <w:color w:val="auto"/>
          <w:sz w:val="22"/>
          <w:szCs w:val="22"/>
          <w:highlight w:val="none"/>
          <w:u w:val="single"/>
        </w:rPr>
        <w:t xml:space="preserve">                  </w:t>
      </w:r>
    </w:p>
    <w:p>
      <w:pPr>
        <w:spacing w:line="420" w:lineRule="exact"/>
        <w:ind w:firstLine="462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法定代表人或授权代表（签字或盖章）</w:t>
      </w:r>
      <w:r>
        <w:rPr>
          <w:rFonts w:hint="eastAsia" w:ascii="新宋体" w:hAnsi="新宋体" w:eastAsia="新宋体" w:cs="新宋体"/>
          <w:color w:val="auto"/>
          <w:sz w:val="22"/>
          <w:szCs w:val="22"/>
          <w:highlight w:val="none"/>
          <w:u w:val="single"/>
        </w:rPr>
        <w:t xml:space="preserve">                   </w:t>
      </w:r>
    </w:p>
    <w:p>
      <w:pPr>
        <w:spacing w:line="460" w:lineRule="exact"/>
        <w:ind w:firstLine="4620"/>
        <w:rPr>
          <w:rFonts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日    期</w:t>
      </w:r>
      <w:r>
        <w:rPr>
          <w:rFonts w:hint="eastAsia" w:ascii="新宋体" w:hAnsi="新宋体" w:eastAsia="新宋体" w:cs="新宋体"/>
          <w:color w:val="auto"/>
          <w:sz w:val="22"/>
          <w:szCs w:val="22"/>
          <w:highlight w:val="none"/>
          <w:u w:val="single"/>
        </w:rPr>
        <w:t xml:space="preserve">           </w:t>
      </w:r>
    </w:p>
    <w:p>
      <w:pPr>
        <w:spacing w:line="460" w:lineRule="exact"/>
        <w:ind w:firstLine="4620"/>
        <w:rPr>
          <w:rFonts w:ascii="新宋体" w:hAnsi="新宋体" w:eastAsia="新宋体" w:cs="新宋体"/>
          <w:color w:val="auto"/>
          <w:sz w:val="22"/>
          <w:szCs w:val="22"/>
          <w:highlight w:val="none"/>
          <w:u w:val="single"/>
        </w:rPr>
      </w:pPr>
    </w:p>
    <w:p>
      <w:pPr>
        <w:spacing w:line="420" w:lineRule="exact"/>
        <w:ind w:firstLine="442" w:firstLineChars="200"/>
        <w:rPr>
          <w:rFonts w:ascii="新宋体" w:hAnsi="新宋体" w:eastAsia="新宋体" w:cs="新宋体"/>
          <w:color w:val="auto"/>
          <w:sz w:val="22"/>
          <w:highlight w:val="none"/>
        </w:rPr>
      </w:pPr>
      <w:r>
        <w:rPr>
          <w:rFonts w:hint="eastAsia" w:ascii="新宋体" w:hAnsi="新宋体" w:eastAsia="新宋体" w:cs="新宋体"/>
          <w:b/>
          <w:color w:val="auto"/>
          <w:sz w:val="22"/>
          <w:szCs w:val="22"/>
          <w:highlight w:val="none"/>
          <w:u w:val="single"/>
        </w:rPr>
        <w:t>▲不提供投标函的投标文件将被视为未实质性响应采购文件。</w:t>
      </w:r>
    </w:p>
    <w:p>
      <w:pPr>
        <w:spacing w:line="380" w:lineRule="exact"/>
        <w:rPr>
          <w:rFonts w:ascii="新宋体" w:hAnsi="新宋体" w:eastAsia="新宋体" w:cs="新宋体"/>
          <w:b/>
          <w:bCs/>
          <w:color w:val="auto"/>
          <w:sz w:val="22"/>
          <w:szCs w:val="22"/>
          <w:highlight w:val="none"/>
        </w:rPr>
      </w:pPr>
    </w:p>
    <w:p>
      <w:pPr>
        <w:spacing w:line="460" w:lineRule="exac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2"/>
          <w:szCs w:val="22"/>
          <w:highlight w:val="none"/>
        </w:rPr>
        <w:t>附件二：</w:t>
      </w:r>
    </w:p>
    <w:p>
      <w:pPr>
        <w:spacing w:line="460" w:lineRule="exact"/>
        <w:jc w:val="center"/>
        <w:rPr>
          <w:rFonts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（1）技术参数应答表</w:t>
      </w:r>
    </w:p>
    <w:p>
      <w:pPr>
        <w:ind w:firstLine="435"/>
        <w:jc w:val="center"/>
        <w:rPr>
          <w:rFonts w:ascii="新宋体" w:hAnsi="新宋体" w:eastAsia="新宋体" w:cs="新宋体"/>
          <w:b/>
          <w:color w:val="auto"/>
          <w:sz w:val="44"/>
          <w:highlight w:val="none"/>
        </w:rPr>
      </w:pPr>
    </w:p>
    <w:p>
      <w:pPr>
        <w:overflowPunct w:val="0"/>
        <w:spacing w:line="380" w:lineRule="exact"/>
        <w:rPr>
          <w:rFonts w:ascii="新宋体" w:hAnsi="新宋体" w:eastAsia="新宋体" w:cs="新宋体"/>
          <w:bCs/>
          <w:color w:val="auto"/>
          <w:sz w:val="22"/>
          <w:szCs w:val="22"/>
          <w:highlight w:val="none"/>
        </w:rPr>
      </w:pPr>
      <w:r>
        <w:rPr>
          <w:rFonts w:hint="eastAsia" w:ascii="新宋体" w:hAnsi="新宋体" w:eastAsia="新宋体" w:cs="新宋体"/>
          <w:b/>
          <w:color w:val="auto"/>
          <w:sz w:val="24"/>
          <w:highlight w:val="none"/>
        </w:rPr>
        <w:t xml:space="preserve">   </w:t>
      </w:r>
      <w:r>
        <w:rPr>
          <w:rFonts w:hint="eastAsia" w:ascii="新宋体" w:hAnsi="新宋体" w:eastAsia="新宋体" w:cs="新宋体"/>
          <w:bCs/>
          <w:color w:val="auto"/>
          <w:sz w:val="22"/>
          <w:szCs w:val="22"/>
          <w:highlight w:val="none"/>
        </w:rPr>
        <w:t>项目名称：                                      采购编号：</w:t>
      </w:r>
    </w:p>
    <w:p>
      <w:pPr>
        <w:ind w:firstLine="361" w:firstLineChars="150"/>
        <w:rPr>
          <w:rFonts w:ascii="新宋体" w:hAnsi="新宋体" w:eastAsia="新宋体" w:cs="新宋体"/>
          <w:b/>
          <w:color w:val="auto"/>
          <w:sz w:val="24"/>
          <w:highlight w:val="none"/>
        </w:rPr>
      </w:pP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3"/>
        <w:gridCol w:w="2538"/>
        <w:gridCol w:w="2326"/>
        <w:gridCol w:w="2115"/>
        <w:gridCol w:w="1902"/>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40" w:hRule="atLeast"/>
          <w:jc w:val="center"/>
        </w:trPr>
        <w:tc>
          <w:tcPr>
            <w:tcW w:w="973"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序号</w:t>
            </w:r>
          </w:p>
        </w:tc>
        <w:tc>
          <w:tcPr>
            <w:tcW w:w="2538"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采购文件技术规格</w:t>
            </w:r>
          </w:p>
        </w:tc>
        <w:tc>
          <w:tcPr>
            <w:tcW w:w="2326"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实际技术规格</w:t>
            </w:r>
          </w:p>
        </w:tc>
        <w:tc>
          <w:tcPr>
            <w:tcW w:w="2115"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偏离</w:t>
            </w:r>
          </w:p>
        </w:tc>
        <w:tc>
          <w:tcPr>
            <w:tcW w:w="1902"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  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40" w:hRule="atLeast"/>
          <w:jc w:val="center"/>
        </w:trPr>
        <w:tc>
          <w:tcPr>
            <w:tcW w:w="973" w:type="dxa"/>
            <w:vAlign w:val="center"/>
          </w:tcPr>
          <w:p>
            <w:pPr>
              <w:jc w:val="center"/>
              <w:rPr>
                <w:rFonts w:ascii="新宋体" w:hAnsi="新宋体" w:eastAsia="新宋体" w:cs="新宋体"/>
                <w:color w:val="auto"/>
                <w:sz w:val="22"/>
                <w:szCs w:val="22"/>
                <w:highlight w:val="none"/>
              </w:rPr>
            </w:pPr>
          </w:p>
        </w:tc>
        <w:tc>
          <w:tcPr>
            <w:tcW w:w="2538" w:type="dxa"/>
            <w:vAlign w:val="center"/>
          </w:tcPr>
          <w:p>
            <w:pPr>
              <w:jc w:val="center"/>
              <w:rPr>
                <w:rFonts w:ascii="新宋体" w:hAnsi="新宋体" w:eastAsia="新宋体" w:cs="新宋体"/>
                <w:color w:val="auto"/>
                <w:sz w:val="22"/>
                <w:szCs w:val="22"/>
                <w:highlight w:val="none"/>
              </w:rPr>
            </w:pPr>
          </w:p>
        </w:tc>
        <w:tc>
          <w:tcPr>
            <w:tcW w:w="2326" w:type="dxa"/>
            <w:vAlign w:val="center"/>
          </w:tcPr>
          <w:p>
            <w:pPr>
              <w:jc w:val="center"/>
              <w:rPr>
                <w:rFonts w:ascii="新宋体" w:hAnsi="新宋体" w:eastAsia="新宋体" w:cs="新宋体"/>
                <w:color w:val="auto"/>
                <w:sz w:val="22"/>
                <w:szCs w:val="22"/>
                <w:highlight w:val="none"/>
              </w:rPr>
            </w:pPr>
          </w:p>
        </w:tc>
        <w:tc>
          <w:tcPr>
            <w:tcW w:w="2115" w:type="dxa"/>
            <w:vAlign w:val="center"/>
          </w:tcPr>
          <w:p>
            <w:pPr>
              <w:jc w:val="center"/>
              <w:rPr>
                <w:rFonts w:ascii="新宋体" w:hAnsi="新宋体" w:eastAsia="新宋体" w:cs="新宋体"/>
                <w:color w:val="auto"/>
                <w:sz w:val="22"/>
                <w:szCs w:val="22"/>
                <w:highlight w:val="none"/>
              </w:rPr>
            </w:pPr>
          </w:p>
        </w:tc>
        <w:tc>
          <w:tcPr>
            <w:tcW w:w="1902" w:type="dxa"/>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vAlign w:val="center"/>
          </w:tcPr>
          <w:p>
            <w:pPr>
              <w:jc w:val="center"/>
              <w:rPr>
                <w:rFonts w:ascii="新宋体" w:hAnsi="新宋体" w:eastAsia="新宋体" w:cs="新宋体"/>
                <w:color w:val="auto"/>
                <w:sz w:val="22"/>
                <w:szCs w:val="22"/>
                <w:highlight w:val="none"/>
              </w:rPr>
            </w:pPr>
          </w:p>
        </w:tc>
        <w:tc>
          <w:tcPr>
            <w:tcW w:w="2538" w:type="dxa"/>
            <w:vAlign w:val="center"/>
          </w:tcPr>
          <w:p>
            <w:pPr>
              <w:jc w:val="center"/>
              <w:rPr>
                <w:rFonts w:ascii="新宋体" w:hAnsi="新宋体" w:eastAsia="新宋体" w:cs="新宋体"/>
                <w:color w:val="auto"/>
                <w:sz w:val="22"/>
                <w:szCs w:val="22"/>
                <w:highlight w:val="none"/>
              </w:rPr>
            </w:pPr>
          </w:p>
        </w:tc>
        <w:tc>
          <w:tcPr>
            <w:tcW w:w="2326" w:type="dxa"/>
            <w:vAlign w:val="center"/>
          </w:tcPr>
          <w:p>
            <w:pPr>
              <w:jc w:val="center"/>
              <w:rPr>
                <w:rFonts w:ascii="新宋体" w:hAnsi="新宋体" w:eastAsia="新宋体" w:cs="新宋体"/>
                <w:color w:val="auto"/>
                <w:sz w:val="22"/>
                <w:szCs w:val="22"/>
                <w:highlight w:val="none"/>
              </w:rPr>
            </w:pPr>
          </w:p>
        </w:tc>
        <w:tc>
          <w:tcPr>
            <w:tcW w:w="2115" w:type="dxa"/>
            <w:vAlign w:val="center"/>
          </w:tcPr>
          <w:p>
            <w:pPr>
              <w:jc w:val="center"/>
              <w:rPr>
                <w:rFonts w:ascii="新宋体" w:hAnsi="新宋体" w:eastAsia="新宋体" w:cs="新宋体"/>
                <w:color w:val="auto"/>
                <w:sz w:val="22"/>
                <w:szCs w:val="22"/>
                <w:highlight w:val="none"/>
              </w:rPr>
            </w:pPr>
          </w:p>
        </w:tc>
        <w:tc>
          <w:tcPr>
            <w:tcW w:w="1902" w:type="dxa"/>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vAlign w:val="center"/>
          </w:tcPr>
          <w:p>
            <w:pPr>
              <w:jc w:val="center"/>
              <w:rPr>
                <w:rFonts w:ascii="新宋体" w:hAnsi="新宋体" w:eastAsia="新宋体" w:cs="新宋体"/>
                <w:color w:val="auto"/>
                <w:sz w:val="22"/>
                <w:szCs w:val="22"/>
                <w:highlight w:val="none"/>
              </w:rPr>
            </w:pPr>
          </w:p>
        </w:tc>
        <w:tc>
          <w:tcPr>
            <w:tcW w:w="2538" w:type="dxa"/>
            <w:vAlign w:val="center"/>
          </w:tcPr>
          <w:p>
            <w:pPr>
              <w:jc w:val="center"/>
              <w:rPr>
                <w:rFonts w:ascii="新宋体" w:hAnsi="新宋体" w:eastAsia="新宋体" w:cs="新宋体"/>
                <w:color w:val="auto"/>
                <w:sz w:val="22"/>
                <w:szCs w:val="22"/>
                <w:highlight w:val="none"/>
              </w:rPr>
            </w:pPr>
          </w:p>
        </w:tc>
        <w:tc>
          <w:tcPr>
            <w:tcW w:w="2326" w:type="dxa"/>
            <w:vAlign w:val="center"/>
          </w:tcPr>
          <w:p>
            <w:pPr>
              <w:jc w:val="center"/>
              <w:rPr>
                <w:rFonts w:ascii="新宋体" w:hAnsi="新宋体" w:eastAsia="新宋体" w:cs="新宋体"/>
                <w:color w:val="auto"/>
                <w:sz w:val="22"/>
                <w:szCs w:val="22"/>
                <w:highlight w:val="none"/>
              </w:rPr>
            </w:pPr>
          </w:p>
        </w:tc>
        <w:tc>
          <w:tcPr>
            <w:tcW w:w="2115" w:type="dxa"/>
            <w:vAlign w:val="center"/>
          </w:tcPr>
          <w:p>
            <w:pPr>
              <w:jc w:val="center"/>
              <w:rPr>
                <w:rFonts w:ascii="新宋体" w:hAnsi="新宋体" w:eastAsia="新宋体" w:cs="新宋体"/>
                <w:color w:val="auto"/>
                <w:sz w:val="22"/>
                <w:szCs w:val="22"/>
                <w:highlight w:val="none"/>
              </w:rPr>
            </w:pPr>
          </w:p>
        </w:tc>
        <w:tc>
          <w:tcPr>
            <w:tcW w:w="1902" w:type="dxa"/>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vAlign w:val="center"/>
          </w:tcPr>
          <w:p>
            <w:pPr>
              <w:jc w:val="center"/>
              <w:rPr>
                <w:rFonts w:ascii="新宋体" w:hAnsi="新宋体" w:eastAsia="新宋体" w:cs="新宋体"/>
                <w:color w:val="auto"/>
                <w:sz w:val="22"/>
                <w:szCs w:val="22"/>
                <w:highlight w:val="none"/>
              </w:rPr>
            </w:pPr>
          </w:p>
        </w:tc>
        <w:tc>
          <w:tcPr>
            <w:tcW w:w="2538" w:type="dxa"/>
            <w:vAlign w:val="center"/>
          </w:tcPr>
          <w:p>
            <w:pPr>
              <w:jc w:val="center"/>
              <w:rPr>
                <w:rFonts w:ascii="新宋体" w:hAnsi="新宋体" w:eastAsia="新宋体" w:cs="新宋体"/>
                <w:color w:val="auto"/>
                <w:sz w:val="22"/>
                <w:szCs w:val="22"/>
                <w:highlight w:val="none"/>
              </w:rPr>
            </w:pPr>
          </w:p>
        </w:tc>
        <w:tc>
          <w:tcPr>
            <w:tcW w:w="2326" w:type="dxa"/>
            <w:vAlign w:val="center"/>
          </w:tcPr>
          <w:p>
            <w:pPr>
              <w:jc w:val="center"/>
              <w:rPr>
                <w:rFonts w:ascii="新宋体" w:hAnsi="新宋体" w:eastAsia="新宋体" w:cs="新宋体"/>
                <w:color w:val="auto"/>
                <w:sz w:val="22"/>
                <w:szCs w:val="22"/>
                <w:highlight w:val="none"/>
              </w:rPr>
            </w:pPr>
          </w:p>
        </w:tc>
        <w:tc>
          <w:tcPr>
            <w:tcW w:w="2115" w:type="dxa"/>
            <w:vAlign w:val="center"/>
          </w:tcPr>
          <w:p>
            <w:pPr>
              <w:jc w:val="center"/>
              <w:rPr>
                <w:rFonts w:ascii="新宋体" w:hAnsi="新宋体" w:eastAsia="新宋体" w:cs="新宋体"/>
                <w:color w:val="auto"/>
                <w:sz w:val="22"/>
                <w:szCs w:val="22"/>
                <w:highlight w:val="none"/>
              </w:rPr>
            </w:pPr>
          </w:p>
        </w:tc>
        <w:tc>
          <w:tcPr>
            <w:tcW w:w="1902" w:type="dxa"/>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vAlign w:val="center"/>
          </w:tcPr>
          <w:p>
            <w:pPr>
              <w:jc w:val="center"/>
              <w:rPr>
                <w:rFonts w:ascii="新宋体" w:hAnsi="新宋体" w:eastAsia="新宋体" w:cs="新宋体"/>
                <w:color w:val="auto"/>
                <w:sz w:val="22"/>
                <w:szCs w:val="22"/>
                <w:highlight w:val="none"/>
              </w:rPr>
            </w:pPr>
          </w:p>
        </w:tc>
        <w:tc>
          <w:tcPr>
            <w:tcW w:w="2538" w:type="dxa"/>
            <w:vAlign w:val="center"/>
          </w:tcPr>
          <w:p>
            <w:pPr>
              <w:jc w:val="center"/>
              <w:rPr>
                <w:rFonts w:ascii="新宋体" w:hAnsi="新宋体" w:eastAsia="新宋体" w:cs="新宋体"/>
                <w:color w:val="auto"/>
                <w:sz w:val="22"/>
                <w:szCs w:val="22"/>
                <w:highlight w:val="none"/>
              </w:rPr>
            </w:pPr>
          </w:p>
        </w:tc>
        <w:tc>
          <w:tcPr>
            <w:tcW w:w="2326" w:type="dxa"/>
            <w:vAlign w:val="center"/>
          </w:tcPr>
          <w:p>
            <w:pPr>
              <w:jc w:val="center"/>
              <w:rPr>
                <w:rFonts w:ascii="新宋体" w:hAnsi="新宋体" w:eastAsia="新宋体" w:cs="新宋体"/>
                <w:color w:val="auto"/>
                <w:sz w:val="22"/>
                <w:szCs w:val="22"/>
                <w:highlight w:val="none"/>
              </w:rPr>
            </w:pPr>
          </w:p>
        </w:tc>
        <w:tc>
          <w:tcPr>
            <w:tcW w:w="2115" w:type="dxa"/>
            <w:vAlign w:val="center"/>
          </w:tcPr>
          <w:p>
            <w:pPr>
              <w:jc w:val="center"/>
              <w:rPr>
                <w:rFonts w:ascii="新宋体" w:hAnsi="新宋体" w:eastAsia="新宋体" w:cs="新宋体"/>
                <w:color w:val="auto"/>
                <w:sz w:val="22"/>
                <w:szCs w:val="22"/>
                <w:highlight w:val="none"/>
              </w:rPr>
            </w:pPr>
          </w:p>
        </w:tc>
        <w:tc>
          <w:tcPr>
            <w:tcW w:w="1902" w:type="dxa"/>
            <w:vAlign w:val="center"/>
          </w:tcPr>
          <w:p>
            <w:pPr>
              <w:jc w:val="center"/>
              <w:rPr>
                <w:rFonts w:ascii="新宋体" w:hAnsi="新宋体" w:eastAsia="新宋体" w:cs="新宋体"/>
                <w:color w:val="auto"/>
                <w:sz w:val="22"/>
                <w:szCs w:val="22"/>
                <w:highlight w:val="none"/>
              </w:rPr>
            </w:pPr>
          </w:p>
        </w:tc>
      </w:tr>
    </w:tbl>
    <w:p>
      <w:pPr>
        <w:rPr>
          <w:rFonts w:ascii="新宋体" w:hAnsi="新宋体" w:eastAsia="新宋体" w:cs="新宋体"/>
          <w:color w:val="auto"/>
          <w:sz w:val="24"/>
          <w:highlight w:val="none"/>
        </w:rPr>
      </w:pPr>
    </w:p>
    <w:p>
      <w:pPr>
        <w:spacing w:line="400" w:lineRule="exact"/>
        <w:ind w:left="218" w:leftChars="104"/>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说明：</w:t>
      </w:r>
      <w:r>
        <w:rPr>
          <w:rFonts w:hint="eastAsia" w:ascii="新宋体" w:hAnsi="新宋体" w:eastAsia="新宋体"/>
          <w:color w:val="auto"/>
          <w:sz w:val="22"/>
          <w:szCs w:val="22"/>
          <w:highlight w:val="none"/>
        </w:rPr>
        <w:t>不填写此表视作完全响应采购文件要求</w:t>
      </w:r>
    </w:p>
    <w:p>
      <w:pPr>
        <w:spacing w:line="400" w:lineRule="exact"/>
        <w:rPr>
          <w:rFonts w:ascii="新宋体" w:hAnsi="新宋体" w:eastAsia="新宋体" w:cs="新宋体"/>
          <w:color w:val="auto"/>
          <w:sz w:val="22"/>
          <w:szCs w:val="22"/>
          <w:highlight w:val="none"/>
        </w:rPr>
      </w:pPr>
    </w:p>
    <w:p>
      <w:pPr>
        <w:spacing w:line="400" w:lineRule="exact"/>
        <w:rPr>
          <w:rFonts w:ascii="新宋体" w:hAnsi="新宋体" w:eastAsia="新宋体" w:cs="新宋体"/>
          <w:color w:val="auto"/>
          <w:sz w:val="22"/>
          <w:szCs w:val="22"/>
          <w:highlight w:val="none"/>
        </w:rPr>
      </w:pPr>
    </w:p>
    <w:p>
      <w:pPr>
        <w:spacing w:line="400" w:lineRule="exact"/>
        <w:rPr>
          <w:rFonts w:ascii="新宋体" w:hAnsi="新宋体" w:eastAsia="新宋体" w:cs="新宋体"/>
          <w:color w:val="auto"/>
          <w:sz w:val="22"/>
          <w:szCs w:val="22"/>
          <w:highlight w:val="none"/>
        </w:rPr>
      </w:pPr>
    </w:p>
    <w:p>
      <w:pPr>
        <w:spacing w:line="400" w:lineRule="exact"/>
        <w:rPr>
          <w:rFonts w:ascii="新宋体" w:hAnsi="新宋体" w:eastAsia="新宋体" w:cs="新宋体"/>
          <w:color w:val="auto"/>
          <w:sz w:val="22"/>
          <w:szCs w:val="22"/>
          <w:highlight w:val="none"/>
        </w:rPr>
      </w:pP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投标人全称（盖章）：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法定代表人或授权代表（签字或盖章）：</w:t>
      </w:r>
    </w:p>
    <w:p>
      <w:pPr>
        <w:spacing w:line="400" w:lineRule="exact"/>
        <w:ind w:firstLine="770" w:firstLineChars="3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pPr>
        <w:spacing w:line="400" w:lineRule="exact"/>
        <w:rPr>
          <w:rFonts w:ascii="新宋体" w:hAnsi="新宋体" w:eastAsia="新宋体" w:cs="新宋体"/>
          <w:color w:val="auto"/>
          <w:sz w:val="22"/>
          <w:szCs w:val="22"/>
          <w:highlight w:val="none"/>
        </w:rPr>
      </w:pPr>
    </w:p>
    <w:p>
      <w:pPr>
        <w:spacing w:line="500" w:lineRule="exact"/>
        <w:jc w:val="left"/>
        <w:rPr>
          <w:rFonts w:ascii="新宋体" w:hAnsi="新宋体" w:eastAsia="新宋体" w:cs="新宋体"/>
          <w:color w:val="auto"/>
          <w:sz w:val="24"/>
          <w:highlight w:val="none"/>
        </w:rPr>
      </w:pPr>
      <w:r>
        <w:rPr>
          <w:rFonts w:hint="eastAsia" w:ascii="新宋体" w:hAnsi="新宋体" w:eastAsia="新宋体" w:cs="新宋体"/>
          <w:color w:val="auto"/>
          <w:sz w:val="24"/>
          <w:highlight w:val="none"/>
        </w:rPr>
        <w:br w:type="page"/>
      </w:r>
    </w:p>
    <w:p>
      <w:pPr>
        <w:spacing w:line="500" w:lineRule="exact"/>
        <w:jc w:val="center"/>
        <w:rPr>
          <w:rFonts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（2）商务条款偏离表</w:t>
      </w:r>
    </w:p>
    <w:p>
      <w:pPr>
        <w:ind w:firstLine="435"/>
        <w:jc w:val="center"/>
        <w:rPr>
          <w:rFonts w:ascii="新宋体" w:hAnsi="新宋体" w:eastAsia="新宋体" w:cs="新宋体"/>
          <w:b/>
          <w:color w:val="auto"/>
          <w:sz w:val="44"/>
          <w:highlight w:val="none"/>
        </w:rPr>
      </w:pPr>
    </w:p>
    <w:p>
      <w:pPr>
        <w:overflowPunct w:val="0"/>
        <w:spacing w:line="380" w:lineRule="exact"/>
        <w:rPr>
          <w:rFonts w:ascii="新宋体" w:hAnsi="新宋体" w:eastAsia="新宋体" w:cs="新宋体"/>
          <w:bCs/>
          <w:color w:val="auto"/>
          <w:sz w:val="22"/>
          <w:szCs w:val="22"/>
          <w:highlight w:val="none"/>
        </w:rPr>
      </w:pPr>
      <w:r>
        <w:rPr>
          <w:rFonts w:hint="eastAsia" w:ascii="新宋体" w:hAnsi="新宋体" w:eastAsia="新宋体" w:cs="新宋体"/>
          <w:b/>
          <w:color w:val="auto"/>
          <w:sz w:val="22"/>
          <w:szCs w:val="22"/>
          <w:highlight w:val="none"/>
        </w:rPr>
        <w:t xml:space="preserve">  </w:t>
      </w:r>
      <w:r>
        <w:rPr>
          <w:rFonts w:hint="eastAsia" w:ascii="新宋体" w:hAnsi="新宋体" w:eastAsia="新宋体" w:cs="新宋体"/>
          <w:bCs/>
          <w:color w:val="auto"/>
          <w:sz w:val="22"/>
          <w:szCs w:val="22"/>
          <w:highlight w:val="none"/>
        </w:rPr>
        <w:t>项目名称：                                      采购编号：</w:t>
      </w:r>
    </w:p>
    <w:p>
      <w:pPr>
        <w:ind w:firstLine="221" w:firstLineChars="100"/>
        <w:rPr>
          <w:rFonts w:ascii="新宋体" w:hAnsi="新宋体" w:eastAsia="新宋体" w:cs="新宋体"/>
          <w:b/>
          <w:color w:val="auto"/>
          <w:sz w:val="22"/>
          <w:szCs w:val="22"/>
          <w:highlight w:val="none"/>
        </w:rPr>
      </w:pP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21"/>
        <w:gridCol w:w="1559"/>
        <w:gridCol w:w="2184"/>
        <w:gridCol w:w="2402"/>
        <w:gridCol w:w="1200"/>
        <w:gridCol w:w="158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40" w:hRule="atLeast"/>
          <w:jc w:val="center"/>
        </w:trPr>
        <w:tc>
          <w:tcPr>
            <w:tcW w:w="921"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序号</w:t>
            </w:r>
          </w:p>
        </w:tc>
        <w:tc>
          <w:tcPr>
            <w:tcW w:w="1559"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条款内容</w:t>
            </w:r>
          </w:p>
        </w:tc>
        <w:tc>
          <w:tcPr>
            <w:tcW w:w="2184"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采购文件商务条款描述</w:t>
            </w:r>
          </w:p>
        </w:tc>
        <w:tc>
          <w:tcPr>
            <w:tcW w:w="2402"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投标文件商务条款</w:t>
            </w:r>
          </w:p>
        </w:tc>
        <w:tc>
          <w:tcPr>
            <w:tcW w:w="1200"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偏离</w:t>
            </w:r>
          </w:p>
        </w:tc>
        <w:tc>
          <w:tcPr>
            <w:tcW w:w="1588"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   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40" w:hRule="atLeast"/>
          <w:jc w:val="center"/>
        </w:trPr>
        <w:tc>
          <w:tcPr>
            <w:tcW w:w="921"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1559"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付款方式</w:t>
            </w:r>
          </w:p>
        </w:tc>
        <w:tc>
          <w:tcPr>
            <w:tcW w:w="2184" w:type="dxa"/>
            <w:vAlign w:val="center"/>
          </w:tcPr>
          <w:p>
            <w:pPr>
              <w:jc w:val="center"/>
              <w:rPr>
                <w:rFonts w:ascii="新宋体" w:hAnsi="新宋体" w:eastAsia="新宋体" w:cs="新宋体"/>
                <w:color w:val="auto"/>
                <w:sz w:val="22"/>
                <w:szCs w:val="22"/>
                <w:highlight w:val="none"/>
              </w:rPr>
            </w:pPr>
          </w:p>
        </w:tc>
        <w:tc>
          <w:tcPr>
            <w:tcW w:w="2402" w:type="dxa"/>
            <w:vAlign w:val="center"/>
          </w:tcPr>
          <w:p>
            <w:pPr>
              <w:jc w:val="center"/>
              <w:rPr>
                <w:rFonts w:ascii="新宋体" w:hAnsi="新宋体" w:eastAsia="新宋体" w:cs="新宋体"/>
                <w:color w:val="auto"/>
                <w:sz w:val="22"/>
                <w:szCs w:val="22"/>
                <w:highlight w:val="none"/>
              </w:rPr>
            </w:pPr>
          </w:p>
        </w:tc>
        <w:tc>
          <w:tcPr>
            <w:tcW w:w="1200" w:type="dxa"/>
            <w:vAlign w:val="center"/>
          </w:tcPr>
          <w:p>
            <w:pPr>
              <w:jc w:val="center"/>
              <w:rPr>
                <w:rFonts w:ascii="新宋体" w:hAnsi="新宋体" w:eastAsia="新宋体" w:cs="新宋体"/>
                <w:color w:val="auto"/>
                <w:sz w:val="22"/>
                <w:szCs w:val="22"/>
                <w:highlight w:val="none"/>
              </w:rPr>
            </w:pPr>
          </w:p>
        </w:tc>
        <w:tc>
          <w:tcPr>
            <w:tcW w:w="1588" w:type="dxa"/>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1559"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供货时间</w:t>
            </w:r>
          </w:p>
        </w:tc>
        <w:tc>
          <w:tcPr>
            <w:tcW w:w="2184" w:type="dxa"/>
            <w:vAlign w:val="center"/>
          </w:tcPr>
          <w:p>
            <w:pPr>
              <w:jc w:val="center"/>
              <w:rPr>
                <w:rFonts w:ascii="新宋体" w:hAnsi="新宋体" w:eastAsia="新宋体" w:cs="新宋体"/>
                <w:color w:val="auto"/>
                <w:sz w:val="22"/>
                <w:szCs w:val="22"/>
                <w:highlight w:val="none"/>
              </w:rPr>
            </w:pPr>
          </w:p>
        </w:tc>
        <w:tc>
          <w:tcPr>
            <w:tcW w:w="2402" w:type="dxa"/>
            <w:vAlign w:val="center"/>
          </w:tcPr>
          <w:p>
            <w:pPr>
              <w:jc w:val="center"/>
              <w:rPr>
                <w:rFonts w:ascii="新宋体" w:hAnsi="新宋体" w:eastAsia="新宋体" w:cs="新宋体"/>
                <w:color w:val="auto"/>
                <w:sz w:val="22"/>
                <w:szCs w:val="22"/>
                <w:highlight w:val="none"/>
              </w:rPr>
            </w:pPr>
          </w:p>
        </w:tc>
        <w:tc>
          <w:tcPr>
            <w:tcW w:w="1200" w:type="dxa"/>
            <w:vAlign w:val="center"/>
          </w:tcPr>
          <w:p>
            <w:pPr>
              <w:jc w:val="center"/>
              <w:rPr>
                <w:rFonts w:ascii="新宋体" w:hAnsi="新宋体" w:eastAsia="新宋体" w:cs="新宋体"/>
                <w:color w:val="auto"/>
                <w:sz w:val="22"/>
                <w:szCs w:val="22"/>
                <w:highlight w:val="none"/>
              </w:rPr>
            </w:pPr>
          </w:p>
        </w:tc>
        <w:tc>
          <w:tcPr>
            <w:tcW w:w="1588" w:type="dxa"/>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w:t>
            </w:r>
          </w:p>
        </w:tc>
        <w:tc>
          <w:tcPr>
            <w:tcW w:w="1559" w:type="dxa"/>
            <w:vAlign w:val="center"/>
          </w:tcPr>
          <w:p>
            <w:pPr>
              <w:jc w:val="center"/>
              <w:rPr>
                <w:rFonts w:ascii="新宋体" w:hAnsi="新宋体" w:eastAsia="新宋体" w:cs="新宋体"/>
                <w:color w:val="auto"/>
                <w:sz w:val="22"/>
                <w:szCs w:val="22"/>
                <w:highlight w:val="none"/>
              </w:rPr>
            </w:pPr>
          </w:p>
        </w:tc>
        <w:tc>
          <w:tcPr>
            <w:tcW w:w="2184" w:type="dxa"/>
            <w:vAlign w:val="center"/>
          </w:tcPr>
          <w:p>
            <w:pPr>
              <w:jc w:val="center"/>
              <w:rPr>
                <w:rFonts w:ascii="新宋体" w:hAnsi="新宋体" w:eastAsia="新宋体" w:cs="新宋体"/>
                <w:color w:val="auto"/>
                <w:sz w:val="22"/>
                <w:szCs w:val="22"/>
                <w:highlight w:val="none"/>
              </w:rPr>
            </w:pPr>
          </w:p>
        </w:tc>
        <w:tc>
          <w:tcPr>
            <w:tcW w:w="2402" w:type="dxa"/>
            <w:vAlign w:val="center"/>
          </w:tcPr>
          <w:p>
            <w:pPr>
              <w:jc w:val="center"/>
              <w:rPr>
                <w:rFonts w:ascii="新宋体" w:hAnsi="新宋体" w:eastAsia="新宋体" w:cs="新宋体"/>
                <w:color w:val="auto"/>
                <w:sz w:val="22"/>
                <w:szCs w:val="22"/>
                <w:highlight w:val="none"/>
              </w:rPr>
            </w:pPr>
          </w:p>
        </w:tc>
        <w:tc>
          <w:tcPr>
            <w:tcW w:w="1200" w:type="dxa"/>
            <w:vAlign w:val="center"/>
          </w:tcPr>
          <w:p>
            <w:pPr>
              <w:jc w:val="center"/>
              <w:rPr>
                <w:rFonts w:ascii="新宋体" w:hAnsi="新宋体" w:eastAsia="新宋体" w:cs="新宋体"/>
                <w:color w:val="auto"/>
                <w:sz w:val="22"/>
                <w:szCs w:val="22"/>
                <w:highlight w:val="none"/>
              </w:rPr>
            </w:pPr>
          </w:p>
        </w:tc>
        <w:tc>
          <w:tcPr>
            <w:tcW w:w="1588" w:type="dxa"/>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w:t>
            </w:r>
          </w:p>
        </w:tc>
        <w:tc>
          <w:tcPr>
            <w:tcW w:w="1559" w:type="dxa"/>
            <w:vAlign w:val="center"/>
          </w:tcPr>
          <w:p>
            <w:pPr>
              <w:jc w:val="center"/>
              <w:rPr>
                <w:rFonts w:ascii="新宋体" w:hAnsi="新宋体" w:eastAsia="新宋体" w:cs="新宋体"/>
                <w:color w:val="auto"/>
                <w:sz w:val="22"/>
                <w:szCs w:val="22"/>
                <w:highlight w:val="none"/>
              </w:rPr>
            </w:pPr>
          </w:p>
        </w:tc>
        <w:tc>
          <w:tcPr>
            <w:tcW w:w="2184" w:type="dxa"/>
            <w:vAlign w:val="center"/>
          </w:tcPr>
          <w:p>
            <w:pPr>
              <w:jc w:val="center"/>
              <w:rPr>
                <w:rFonts w:ascii="新宋体" w:hAnsi="新宋体" w:eastAsia="新宋体" w:cs="新宋体"/>
                <w:color w:val="auto"/>
                <w:sz w:val="22"/>
                <w:szCs w:val="22"/>
                <w:highlight w:val="none"/>
              </w:rPr>
            </w:pPr>
          </w:p>
        </w:tc>
        <w:tc>
          <w:tcPr>
            <w:tcW w:w="2402" w:type="dxa"/>
            <w:vAlign w:val="center"/>
          </w:tcPr>
          <w:p>
            <w:pPr>
              <w:jc w:val="center"/>
              <w:rPr>
                <w:rFonts w:ascii="新宋体" w:hAnsi="新宋体" w:eastAsia="新宋体" w:cs="新宋体"/>
                <w:color w:val="auto"/>
                <w:sz w:val="22"/>
                <w:szCs w:val="22"/>
                <w:highlight w:val="none"/>
              </w:rPr>
            </w:pPr>
          </w:p>
        </w:tc>
        <w:tc>
          <w:tcPr>
            <w:tcW w:w="1200" w:type="dxa"/>
            <w:vAlign w:val="center"/>
          </w:tcPr>
          <w:p>
            <w:pPr>
              <w:jc w:val="center"/>
              <w:rPr>
                <w:rFonts w:ascii="新宋体" w:hAnsi="新宋体" w:eastAsia="新宋体" w:cs="新宋体"/>
                <w:color w:val="auto"/>
                <w:sz w:val="22"/>
                <w:szCs w:val="22"/>
                <w:highlight w:val="none"/>
              </w:rPr>
            </w:pPr>
          </w:p>
        </w:tc>
        <w:tc>
          <w:tcPr>
            <w:tcW w:w="1588" w:type="dxa"/>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w:t>
            </w:r>
          </w:p>
        </w:tc>
        <w:tc>
          <w:tcPr>
            <w:tcW w:w="1559" w:type="dxa"/>
            <w:vAlign w:val="center"/>
          </w:tcPr>
          <w:p>
            <w:pPr>
              <w:jc w:val="center"/>
              <w:rPr>
                <w:rFonts w:ascii="新宋体" w:hAnsi="新宋体" w:eastAsia="新宋体" w:cs="新宋体"/>
                <w:color w:val="auto"/>
                <w:sz w:val="22"/>
                <w:szCs w:val="22"/>
                <w:highlight w:val="none"/>
              </w:rPr>
            </w:pPr>
          </w:p>
        </w:tc>
        <w:tc>
          <w:tcPr>
            <w:tcW w:w="2184" w:type="dxa"/>
            <w:vAlign w:val="center"/>
          </w:tcPr>
          <w:p>
            <w:pPr>
              <w:jc w:val="center"/>
              <w:rPr>
                <w:rFonts w:ascii="新宋体" w:hAnsi="新宋体" w:eastAsia="新宋体" w:cs="新宋体"/>
                <w:color w:val="auto"/>
                <w:sz w:val="22"/>
                <w:szCs w:val="22"/>
                <w:highlight w:val="none"/>
              </w:rPr>
            </w:pPr>
          </w:p>
        </w:tc>
        <w:tc>
          <w:tcPr>
            <w:tcW w:w="2402" w:type="dxa"/>
            <w:vAlign w:val="center"/>
          </w:tcPr>
          <w:p>
            <w:pPr>
              <w:jc w:val="center"/>
              <w:rPr>
                <w:rFonts w:ascii="新宋体" w:hAnsi="新宋体" w:eastAsia="新宋体" w:cs="新宋体"/>
                <w:color w:val="auto"/>
                <w:sz w:val="22"/>
                <w:szCs w:val="22"/>
                <w:highlight w:val="none"/>
              </w:rPr>
            </w:pPr>
          </w:p>
        </w:tc>
        <w:tc>
          <w:tcPr>
            <w:tcW w:w="1200" w:type="dxa"/>
            <w:vAlign w:val="center"/>
          </w:tcPr>
          <w:p>
            <w:pPr>
              <w:jc w:val="center"/>
              <w:rPr>
                <w:rFonts w:ascii="新宋体" w:hAnsi="新宋体" w:eastAsia="新宋体" w:cs="新宋体"/>
                <w:color w:val="auto"/>
                <w:sz w:val="22"/>
                <w:szCs w:val="22"/>
                <w:highlight w:val="none"/>
              </w:rPr>
            </w:pPr>
          </w:p>
        </w:tc>
        <w:tc>
          <w:tcPr>
            <w:tcW w:w="1588" w:type="dxa"/>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w:t>
            </w:r>
          </w:p>
        </w:tc>
        <w:tc>
          <w:tcPr>
            <w:tcW w:w="1559" w:type="dxa"/>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w:t>
            </w:r>
          </w:p>
        </w:tc>
        <w:tc>
          <w:tcPr>
            <w:tcW w:w="2184" w:type="dxa"/>
            <w:vAlign w:val="center"/>
          </w:tcPr>
          <w:p>
            <w:pPr>
              <w:jc w:val="center"/>
              <w:rPr>
                <w:rFonts w:ascii="新宋体" w:hAnsi="新宋体" w:eastAsia="新宋体" w:cs="新宋体"/>
                <w:color w:val="auto"/>
                <w:sz w:val="22"/>
                <w:szCs w:val="22"/>
                <w:highlight w:val="none"/>
              </w:rPr>
            </w:pPr>
          </w:p>
        </w:tc>
        <w:tc>
          <w:tcPr>
            <w:tcW w:w="2402" w:type="dxa"/>
            <w:vAlign w:val="center"/>
          </w:tcPr>
          <w:p>
            <w:pPr>
              <w:jc w:val="center"/>
              <w:rPr>
                <w:rFonts w:ascii="新宋体" w:hAnsi="新宋体" w:eastAsia="新宋体" w:cs="新宋体"/>
                <w:color w:val="auto"/>
                <w:sz w:val="22"/>
                <w:szCs w:val="22"/>
                <w:highlight w:val="none"/>
              </w:rPr>
            </w:pPr>
          </w:p>
        </w:tc>
        <w:tc>
          <w:tcPr>
            <w:tcW w:w="1200" w:type="dxa"/>
            <w:vAlign w:val="center"/>
          </w:tcPr>
          <w:p>
            <w:pPr>
              <w:jc w:val="center"/>
              <w:rPr>
                <w:rFonts w:ascii="新宋体" w:hAnsi="新宋体" w:eastAsia="新宋体" w:cs="新宋体"/>
                <w:color w:val="auto"/>
                <w:sz w:val="22"/>
                <w:szCs w:val="22"/>
                <w:highlight w:val="none"/>
              </w:rPr>
            </w:pPr>
          </w:p>
        </w:tc>
        <w:tc>
          <w:tcPr>
            <w:tcW w:w="1588" w:type="dxa"/>
            <w:vAlign w:val="center"/>
          </w:tcPr>
          <w:p>
            <w:pPr>
              <w:jc w:val="center"/>
              <w:rPr>
                <w:rFonts w:ascii="新宋体" w:hAnsi="新宋体" w:eastAsia="新宋体" w:cs="新宋体"/>
                <w:color w:val="auto"/>
                <w:sz w:val="22"/>
                <w:szCs w:val="22"/>
                <w:highlight w:val="none"/>
              </w:rPr>
            </w:pPr>
          </w:p>
        </w:tc>
      </w:tr>
    </w:tbl>
    <w:p>
      <w:pPr>
        <w:spacing w:line="500" w:lineRule="exact"/>
        <w:ind w:firstLine="4800" w:firstLineChars="2000"/>
        <w:rPr>
          <w:rFonts w:ascii="新宋体" w:hAnsi="新宋体" w:eastAsia="新宋体" w:cs="新宋体"/>
          <w:color w:val="auto"/>
          <w:sz w:val="24"/>
          <w:highlight w:val="none"/>
        </w:rPr>
      </w:pPr>
    </w:p>
    <w:p>
      <w:pPr>
        <w:spacing w:line="400" w:lineRule="exact"/>
        <w:ind w:left="218" w:leftChars="104"/>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说明：</w:t>
      </w:r>
      <w:r>
        <w:rPr>
          <w:rFonts w:hint="eastAsia" w:ascii="新宋体" w:hAnsi="新宋体" w:eastAsia="新宋体"/>
          <w:color w:val="auto"/>
          <w:sz w:val="22"/>
          <w:szCs w:val="22"/>
          <w:highlight w:val="none"/>
        </w:rPr>
        <w:t>不填写此表视作完全响应采购文件要求</w:t>
      </w:r>
    </w:p>
    <w:p>
      <w:pPr>
        <w:spacing w:line="500" w:lineRule="exact"/>
        <w:rPr>
          <w:rFonts w:ascii="新宋体" w:hAnsi="新宋体" w:eastAsia="新宋体" w:cs="新宋体"/>
          <w:color w:val="auto"/>
          <w:sz w:val="22"/>
          <w:szCs w:val="22"/>
          <w:highlight w:val="none"/>
        </w:rPr>
      </w:pPr>
    </w:p>
    <w:p>
      <w:pPr>
        <w:spacing w:line="500" w:lineRule="exact"/>
        <w:ind w:firstLine="4400" w:firstLineChars="2000"/>
        <w:rPr>
          <w:rFonts w:ascii="新宋体" w:hAnsi="新宋体" w:eastAsia="新宋体" w:cs="新宋体"/>
          <w:color w:val="auto"/>
          <w:sz w:val="22"/>
          <w:szCs w:val="22"/>
          <w:highlight w:val="none"/>
        </w:rPr>
      </w:pPr>
    </w:p>
    <w:p>
      <w:pPr>
        <w:spacing w:line="500" w:lineRule="exact"/>
        <w:ind w:firstLine="4400" w:firstLineChars="2000"/>
        <w:rPr>
          <w:rFonts w:ascii="新宋体" w:hAnsi="新宋体" w:eastAsia="新宋体" w:cs="新宋体"/>
          <w:color w:val="auto"/>
          <w:sz w:val="22"/>
          <w:szCs w:val="22"/>
          <w:highlight w:val="none"/>
        </w:rPr>
      </w:pPr>
    </w:p>
    <w:p>
      <w:pPr>
        <w:spacing w:line="500" w:lineRule="exact"/>
        <w:ind w:firstLine="4400" w:firstLineChars="2000"/>
        <w:rPr>
          <w:rFonts w:ascii="新宋体" w:hAnsi="新宋体" w:eastAsia="新宋体" w:cs="新宋体"/>
          <w:color w:val="auto"/>
          <w:sz w:val="22"/>
          <w:szCs w:val="22"/>
          <w:highlight w:val="none"/>
        </w:rPr>
      </w:pP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投标人全称（盖章）：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法定代表人或授权代表（签字或盖章）：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pPr>
        <w:spacing w:line="460" w:lineRule="exact"/>
        <w:rPr>
          <w:rFonts w:ascii="新宋体" w:hAnsi="新宋体" w:eastAsia="新宋体" w:cs="新宋体"/>
          <w:color w:val="auto"/>
          <w:sz w:val="22"/>
          <w:szCs w:val="22"/>
          <w:highlight w:val="none"/>
        </w:rPr>
      </w:pPr>
    </w:p>
    <w:p>
      <w:pPr>
        <w:tabs>
          <w:tab w:val="left" w:pos="840"/>
          <w:tab w:val="left" w:pos="5400"/>
        </w:tabs>
        <w:adjustRightInd w:val="0"/>
        <w:snapToGrid w:val="0"/>
        <w:spacing w:line="400" w:lineRule="exact"/>
        <w:ind w:left="420" w:leftChars="200" w:firstLine="4638" w:firstLineChars="2100"/>
        <w:rPr>
          <w:rFonts w:ascii="新宋体" w:hAnsi="新宋体" w:eastAsia="新宋体" w:cs="新宋体"/>
          <w:b/>
          <w:bCs/>
          <w:color w:val="auto"/>
          <w:sz w:val="22"/>
          <w:szCs w:val="22"/>
          <w:highlight w:val="none"/>
        </w:rPr>
      </w:pPr>
    </w:p>
    <w:p>
      <w:pPr>
        <w:spacing w:line="460" w:lineRule="exact"/>
        <w:jc w:val="center"/>
        <w:rPr>
          <w:rStyle w:val="27"/>
          <w:rFonts w:ascii="新宋体" w:hAnsi="新宋体" w:eastAsia="新宋体"/>
          <w:b/>
          <w:bCs/>
          <w:color w:val="auto"/>
          <w:sz w:val="28"/>
          <w:szCs w:val="28"/>
          <w:highlight w:val="none"/>
        </w:rPr>
      </w:pPr>
      <w:r>
        <w:rPr>
          <w:rFonts w:hint="eastAsia" w:ascii="新宋体" w:hAnsi="新宋体" w:eastAsia="新宋体" w:cs="新宋体"/>
          <w:b/>
          <w:bCs/>
          <w:color w:val="auto"/>
          <w:sz w:val="22"/>
          <w:szCs w:val="22"/>
          <w:highlight w:val="none"/>
        </w:rPr>
        <w:br w:type="page"/>
      </w:r>
      <w:r>
        <w:rPr>
          <w:rStyle w:val="27"/>
          <w:rFonts w:ascii="新宋体" w:hAnsi="新宋体" w:eastAsia="新宋体"/>
          <w:b/>
          <w:bCs/>
          <w:color w:val="auto"/>
          <w:sz w:val="28"/>
          <w:szCs w:val="28"/>
          <w:highlight w:val="none"/>
        </w:rPr>
        <w:t>（3）设备供货范围详细清单</w:t>
      </w:r>
    </w:p>
    <w:p>
      <w:pPr>
        <w:spacing w:line="380" w:lineRule="exact"/>
        <w:rPr>
          <w:rStyle w:val="27"/>
          <w:rFonts w:ascii="新宋体" w:hAnsi="新宋体" w:eastAsia="新宋体" w:cs="宋体"/>
          <w:b/>
          <w:bCs/>
          <w:color w:val="auto"/>
          <w:sz w:val="22"/>
          <w:szCs w:val="22"/>
          <w:highlight w:val="none"/>
        </w:rPr>
      </w:pPr>
      <w:r>
        <w:rPr>
          <w:rStyle w:val="27"/>
          <w:rFonts w:ascii="新宋体" w:hAnsi="新宋体" w:eastAsia="新宋体"/>
          <w:bCs/>
          <w:color w:val="auto"/>
          <w:sz w:val="22"/>
          <w:szCs w:val="22"/>
          <w:highlight w:val="none"/>
        </w:rPr>
        <w:t>项目名称：                                         项目编号：</w:t>
      </w:r>
    </w:p>
    <w:tbl>
      <w:tblPr>
        <w:tblStyle w:val="1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96"/>
        <w:gridCol w:w="1797"/>
        <w:gridCol w:w="3625"/>
        <w:gridCol w:w="1083"/>
        <w:gridCol w:w="867"/>
        <w:gridCol w:w="1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tcBorders>
              <w:top w:val="single" w:color="000000" w:sz="12" w:space="0"/>
              <w:left w:val="single" w:color="000000" w:sz="12" w:space="0"/>
              <w:bottom w:val="single" w:color="000000" w:sz="12" w:space="0"/>
              <w:right w:val="single" w:color="000000" w:sz="4" w:space="0"/>
            </w:tcBorders>
          </w:tcPr>
          <w:p>
            <w:pPr>
              <w:jc w:val="center"/>
              <w:rPr>
                <w:rStyle w:val="27"/>
                <w:rFonts w:ascii="新宋体" w:hAnsi="新宋体" w:eastAsia="新宋体"/>
                <w:b/>
                <w:bCs/>
                <w:color w:val="auto"/>
                <w:sz w:val="22"/>
                <w:szCs w:val="22"/>
                <w:highlight w:val="none"/>
              </w:rPr>
            </w:pPr>
            <w:r>
              <w:rPr>
                <w:rStyle w:val="27"/>
                <w:rFonts w:ascii="新宋体" w:hAnsi="新宋体" w:eastAsia="新宋体"/>
                <w:b/>
                <w:bCs/>
                <w:color w:val="auto"/>
                <w:sz w:val="22"/>
                <w:szCs w:val="22"/>
                <w:highlight w:val="none"/>
              </w:rPr>
              <w:t>序号</w:t>
            </w:r>
          </w:p>
        </w:tc>
        <w:tc>
          <w:tcPr>
            <w:tcW w:w="929" w:type="pct"/>
            <w:tcBorders>
              <w:top w:val="single" w:color="000000" w:sz="12" w:space="0"/>
              <w:left w:val="single" w:color="000000" w:sz="4" w:space="0"/>
              <w:bottom w:val="single" w:color="000000" w:sz="12" w:space="0"/>
              <w:right w:val="single" w:color="000000" w:sz="4" w:space="0"/>
            </w:tcBorders>
          </w:tcPr>
          <w:p>
            <w:pPr>
              <w:jc w:val="center"/>
              <w:rPr>
                <w:rStyle w:val="27"/>
                <w:rFonts w:ascii="新宋体" w:hAnsi="新宋体" w:eastAsia="新宋体"/>
                <w:b/>
                <w:bCs/>
                <w:color w:val="auto"/>
                <w:sz w:val="22"/>
                <w:szCs w:val="22"/>
                <w:highlight w:val="none"/>
              </w:rPr>
            </w:pPr>
            <w:r>
              <w:rPr>
                <w:rStyle w:val="27"/>
                <w:rFonts w:ascii="新宋体" w:hAnsi="新宋体" w:eastAsia="新宋体"/>
                <w:b/>
                <w:bCs/>
                <w:color w:val="auto"/>
                <w:sz w:val="22"/>
                <w:szCs w:val="22"/>
                <w:highlight w:val="none"/>
              </w:rPr>
              <w:t>设备名称</w:t>
            </w:r>
          </w:p>
        </w:tc>
        <w:tc>
          <w:tcPr>
            <w:tcW w:w="1874" w:type="pct"/>
            <w:tcBorders>
              <w:top w:val="single" w:color="000000" w:sz="12" w:space="0"/>
              <w:left w:val="single" w:color="000000" w:sz="4" w:space="0"/>
              <w:bottom w:val="single" w:color="000000" w:sz="12" w:space="0"/>
              <w:right w:val="single" w:color="000000" w:sz="4" w:space="0"/>
            </w:tcBorders>
          </w:tcPr>
          <w:p>
            <w:pPr>
              <w:jc w:val="center"/>
              <w:rPr>
                <w:rStyle w:val="27"/>
                <w:rFonts w:ascii="新宋体" w:hAnsi="新宋体" w:eastAsia="新宋体"/>
                <w:b/>
                <w:bCs/>
                <w:color w:val="auto"/>
                <w:sz w:val="22"/>
                <w:szCs w:val="22"/>
                <w:highlight w:val="none"/>
              </w:rPr>
            </w:pPr>
            <w:r>
              <w:rPr>
                <w:rStyle w:val="27"/>
                <w:rFonts w:ascii="新宋体" w:hAnsi="新宋体" w:eastAsia="新宋体"/>
                <w:b/>
                <w:bCs/>
                <w:color w:val="auto"/>
                <w:sz w:val="22"/>
                <w:szCs w:val="22"/>
                <w:highlight w:val="none"/>
              </w:rPr>
              <w:t>详细配置说明（品牌、型号，详细参数）</w:t>
            </w:r>
          </w:p>
        </w:tc>
        <w:tc>
          <w:tcPr>
            <w:tcW w:w="560" w:type="pct"/>
            <w:tcBorders>
              <w:top w:val="single" w:color="000000" w:sz="12" w:space="0"/>
              <w:left w:val="single" w:color="000000" w:sz="4" w:space="0"/>
              <w:bottom w:val="single" w:color="000000" w:sz="12" w:space="0"/>
              <w:right w:val="single" w:color="000000" w:sz="4" w:space="0"/>
            </w:tcBorders>
          </w:tcPr>
          <w:p>
            <w:pPr>
              <w:jc w:val="center"/>
              <w:rPr>
                <w:rStyle w:val="27"/>
                <w:rFonts w:ascii="新宋体" w:hAnsi="新宋体" w:eastAsia="新宋体"/>
                <w:b/>
                <w:bCs/>
                <w:color w:val="auto"/>
                <w:sz w:val="22"/>
                <w:szCs w:val="22"/>
                <w:highlight w:val="none"/>
              </w:rPr>
            </w:pPr>
            <w:r>
              <w:rPr>
                <w:rStyle w:val="27"/>
                <w:rFonts w:ascii="新宋体" w:hAnsi="新宋体" w:eastAsia="新宋体"/>
                <w:b/>
                <w:bCs/>
                <w:color w:val="auto"/>
                <w:sz w:val="22"/>
                <w:szCs w:val="22"/>
                <w:highlight w:val="none"/>
              </w:rPr>
              <w:t>产地</w:t>
            </w:r>
          </w:p>
        </w:tc>
        <w:tc>
          <w:tcPr>
            <w:tcW w:w="448" w:type="pct"/>
            <w:tcBorders>
              <w:top w:val="single" w:color="000000" w:sz="12" w:space="0"/>
              <w:left w:val="single" w:color="000000" w:sz="4" w:space="0"/>
              <w:bottom w:val="single" w:color="000000" w:sz="12" w:space="0"/>
              <w:right w:val="single" w:color="000000" w:sz="4" w:space="0"/>
            </w:tcBorders>
          </w:tcPr>
          <w:p>
            <w:pPr>
              <w:jc w:val="center"/>
              <w:rPr>
                <w:rStyle w:val="27"/>
                <w:rFonts w:ascii="新宋体" w:hAnsi="新宋体" w:eastAsia="新宋体"/>
                <w:b/>
                <w:bCs/>
                <w:color w:val="auto"/>
                <w:sz w:val="22"/>
                <w:szCs w:val="22"/>
                <w:highlight w:val="none"/>
              </w:rPr>
            </w:pPr>
            <w:r>
              <w:rPr>
                <w:rStyle w:val="27"/>
                <w:rFonts w:ascii="新宋体" w:hAnsi="新宋体" w:eastAsia="新宋体"/>
                <w:b/>
                <w:bCs/>
                <w:color w:val="auto"/>
                <w:sz w:val="22"/>
                <w:szCs w:val="22"/>
                <w:highlight w:val="none"/>
              </w:rPr>
              <w:t>数量</w:t>
            </w:r>
          </w:p>
        </w:tc>
        <w:tc>
          <w:tcPr>
            <w:tcW w:w="670" w:type="pct"/>
            <w:tcBorders>
              <w:top w:val="single" w:color="000000" w:sz="12" w:space="0"/>
              <w:left w:val="single" w:color="000000" w:sz="4" w:space="0"/>
              <w:bottom w:val="single" w:color="000000" w:sz="12" w:space="0"/>
              <w:right w:val="single" w:color="000000" w:sz="12" w:space="0"/>
            </w:tcBorders>
          </w:tcPr>
          <w:p>
            <w:pPr>
              <w:jc w:val="center"/>
              <w:rPr>
                <w:rStyle w:val="27"/>
                <w:rFonts w:ascii="新宋体" w:hAnsi="新宋体" w:eastAsia="新宋体"/>
                <w:b/>
                <w:bCs/>
                <w:color w:val="auto"/>
                <w:sz w:val="22"/>
                <w:szCs w:val="22"/>
                <w:highlight w:val="none"/>
              </w:rPr>
            </w:pPr>
            <w:r>
              <w:rPr>
                <w:rStyle w:val="27"/>
                <w:rFonts w:ascii="新宋体" w:hAnsi="新宋体" w:eastAsia="新宋体"/>
                <w:b/>
                <w:bCs/>
                <w:color w:val="auto"/>
                <w:sz w:val="22"/>
                <w:szCs w:val="22"/>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restart"/>
            <w:tcBorders>
              <w:top w:val="single" w:color="000000" w:sz="12"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restart"/>
            <w:tcBorders>
              <w:top w:val="single" w:color="000000" w:sz="12"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12"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12"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12"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12"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continue"/>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continue"/>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continue"/>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continue"/>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restart"/>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restar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continue"/>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continue"/>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continue"/>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continue"/>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restart"/>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restar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continue"/>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continue"/>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continue"/>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continue"/>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restart"/>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restar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continue"/>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continue"/>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continue"/>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continue"/>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restart"/>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restar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continue"/>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continue"/>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continue"/>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continue"/>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restart"/>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restar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continue"/>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continue"/>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continue"/>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continue"/>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restart"/>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restar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continue"/>
            <w:tcBorders>
              <w:top w:val="single" w:color="000000" w:sz="4" w:space="0"/>
              <w:left w:val="single" w:color="000000" w:sz="12"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continue"/>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4"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4" w:space="0"/>
              <w:right w:val="single" w:color="000000" w:sz="12" w:space="0"/>
            </w:tcBorders>
          </w:tcPr>
          <w:p>
            <w:pPr>
              <w:rPr>
                <w:rStyle w:val="27"/>
                <w:rFonts w:ascii="新宋体" w:hAnsi="新宋体" w:eastAsia="新宋体"/>
                <w:b/>
                <w:bCs/>
                <w:color w:val="auto"/>
                <w:sz w:val="22"/>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7" w:hRule="atLeast"/>
        </w:trPr>
        <w:tc>
          <w:tcPr>
            <w:tcW w:w="515" w:type="pct"/>
            <w:vMerge w:val="continue"/>
            <w:tcBorders>
              <w:top w:val="single" w:color="000000" w:sz="4" w:space="0"/>
              <w:left w:val="single" w:color="000000" w:sz="12" w:space="0"/>
              <w:bottom w:val="single" w:color="000000" w:sz="12" w:space="0"/>
              <w:right w:val="single" w:color="000000" w:sz="4" w:space="0"/>
            </w:tcBorders>
          </w:tcPr>
          <w:p>
            <w:pPr>
              <w:rPr>
                <w:rStyle w:val="27"/>
                <w:rFonts w:ascii="新宋体" w:hAnsi="新宋体" w:eastAsia="新宋体"/>
                <w:b/>
                <w:bCs/>
                <w:color w:val="auto"/>
                <w:sz w:val="22"/>
                <w:szCs w:val="22"/>
                <w:highlight w:val="none"/>
              </w:rPr>
            </w:pPr>
          </w:p>
        </w:tc>
        <w:tc>
          <w:tcPr>
            <w:tcW w:w="929" w:type="pct"/>
            <w:vMerge w:val="continue"/>
            <w:tcBorders>
              <w:top w:val="single" w:color="000000" w:sz="4" w:space="0"/>
              <w:left w:val="single" w:color="000000" w:sz="4" w:space="0"/>
              <w:bottom w:val="single" w:color="000000" w:sz="12" w:space="0"/>
              <w:right w:val="single" w:color="000000" w:sz="4" w:space="0"/>
            </w:tcBorders>
          </w:tcPr>
          <w:p>
            <w:pPr>
              <w:rPr>
                <w:rStyle w:val="27"/>
                <w:rFonts w:ascii="新宋体" w:hAnsi="新宋体" w:eastAsia="新宋体"/>
                <w:b/>
                <w:bCs/>
                <w:color w:val="auto"/>
                <w:sz w:val="22"/>
                <w:szCs w:val="22"/>
                <w:highlight w:val="none"/>
              </w:rPr>
            </w:pPr>
          </w:p>
        </w:tc>
        <w:tc>
          <w:tcPr>
            <w:tcW w:w="1874" w:type="pct"/>
            <w:tcBorders>
              <w:top w:val="single" w:color="000000" w:sz="4" w:space="0"/>
              <w:left w:val="single" w:color="000000" w:sz="4" w:space="0"/>
              <w:bottom w:val="single" w:color="000000" w:sz="12" w:space="0"/>
              <w:right w:val="single" w:color="000000" w:sz="4" w:space="0"/>
            </w:tcBorders>
          </w:tcPr>
          <w:p>
            <w:pPr>
              <w:rPr>
                <w:rStyle w:val="27"/>
                <w:rFonts w:ascii="新宋体" w:hAnsi="新宋体" w:eastAsia="新宋体"/>
                <w:b/>
                <w:bCs/>
                <w:color w:val="auto"/>
                <w:sz w:val="22"/>
                <w:szCs w:val="22"/>
                <w:highlight w:val="none"/>
              </w:rPr>
            </w:pPr>
          </w:p>
        </w:tc>
        <w:tc>
          <w:tcPr>
            <w:tcW w:w="560" w:type="pct"/>
            <w:tcBorders>
              <w:top w:val="single" w:color="000000" w:sz="4" w:space="0"/>
              <w:left w:val="single" w:color="000000" w:sz="4" w:space="0"/>
              <w:bottom w:val="single" w:color="000000" w:sz="12" w:space="0"/>
              <w:right w:val="single" w:color="000000" w:sz="4" w:space="0"/>
            </w:tcBorders>
          </w:tcPr>
          <w:p>
            <w:pPr>
              <w:rPr>
                <w:rStyle w:val="27"/>
                <w:rFonts w:ascii="新宋体" w:hAnsi="新宋体" w:eastAsia="新宋体"/>
                <w:b/>
                <w:bCs/>
                <w:color w:val="auto"/>
                <w:sz w:val="22"/>
                <w:szCs w:val="22"/>
                <w:highlight w:val="none"/>
              </w:rPr>
            </w:pPr>
          </w:p>
        </w:tc>
        <w:tc>
          <w:tcPr>
            <w:tcW w:w="448" w:type="pct"/>
            <w:tcBorders>
              <w:top w:val="single" w:color="000000" w:sz="4" w:space="0"/>
              <w:left w:val="single" w:color="000000" w:sz="4" w:space="0"/>
              <w:bottom w:val="single" w:color="000000" w:sz="12" w:space="0"/>
              <w:right w:val="single" w:color="000000" w:sz="4" w:space="0"/>
            </w:tcBorders>
          </w:tcPr>
          <w:p>
            <w:pPr>
              <w:rPr>
                <w:rStyle w:val="27"/>
                <w:rFonts w:ascii="新宋体" w:hAnsi="新宋体" w:eastAsia="新宋体"/>
                <w:b/>
                <w:bCs/>
                <w:color w:val="auto"/>
                <w:sz w:val="22"/>
                <w:szCs w:val="22"/>
                <w:highlight w:val="none"/>
              </w:rPr>
            </w:pPr>
          </w:p>
        </w:tc>
        <w:tc>
          <w:tcPr>
            <w:tcW w:w="670" w:type="pct"/>
            <w:tcBorders>
              <w:top w:val="single" w:color="000000" w:sz="4" w:space="0"/>
              <w:left w:val="single" w:color="000000" w:sz="4" w:space="0"/>
              <w:bottom w:val="single" w:color="000000" w:sz="12" w:space="0"/>
              <w:right w:val="single" w:color="000000" w:sz="12" w:space="0"/>
            </w:tcBorders>
          </w:tcPr>
          <w:p>
            <w:pPr>
              <w:rPr>
                <w:rStyle w:val="27"/>
                <w:rFonts w:ascii="新宋体" w:hAnsi="新宋体" w:eastAsia="新宋体"/>
                <w:b/>
                <w:bCs/>
                <w:color w:val="auto"/>
                <w:sz w:val="22"/>
                <w:szCs w:val="22"/>
                <w:highlight w:val="none"/>
              </w:rPr>
            </w:pPr>
          </w:p>
        </w:tc>
      </w:tr>
    </w:tbl>
    <w:p>
      <w:pPr>
        <w:ind w:left="745" w:leftChars="4" w:hanging="737" w:hangingChars="335"/>
        <w:rPr>
          <w:rStyle w:val="27"/>
          <w:rFonts w:ascii="新宋体" w:hAnsi="新宋体" w:eastAsia="新宋体"/>
          <w:color w:val="auto"/>
          <w:sz w:val="22"/>
          <w:szCs w:val="22"/>
          <w:highlight w:val="none"/>
        </w:rPr>
      </w:pPr>
      <w:r>
        <w:rPr>
          <w:rStyle w:val="27"/>
          <w:rFonts w:ascii="新宋体" w:hAnsi="新宋体" w:eastAsia="新宋体"/>
          <w:color w:val="auto"/>
          <w:kern w:val="0"/>
          <w:sz w:val="22"/>
          <w:szCs w:val="22"/>
          <w:highlight w:val="none"/>
          <w:lang w:val="zh-CN"/>
        </w:rPr>
        <w:t>注：</w:t>
      </w:r>
      <w:r>
        <w:rPr>
          <w:rStyle w:val="27"/>
          <w:rFonts w:ascii="新宋体" w:hAnsi="新宋体" w:eastAsia="新宋体"/>
          <w:color w:val="auto"/>
          <w:kern w:val="0"/>
          <w:sz w:val="22"/>
          <w:szCs w:val="22"/>
          <w:highlight w:val="none"/>
        </w:rPr>
        <w:t>1.</w:t>
      </w:r>
      <w:r>
        <w:rPr>
          <w:rStyle w:val="27"/>
          <w:rFonts w:ascii="新宋体" w:hAnsi="新宋体" w:eastAsia="新宋体"/>
          <w:color w:val="auto"/>
          <w:sz w:val="22"/>
          <w:szCs w:val="22"/>
          <w:highlight w:val="none"/>
        </w:rPr>
        <w:t>详细配置说明一栏中需提供设备每一可拆卸部件的规格、型号、名称、性能描述等。</w:t>
      </w:r>
    </w:p>
    <w:p>
      <w:pPr>
        <w:ind w:firstLine="440" w:firstLineChars="200"/>
        <w:rPr>
          <w:rStyle w:val="27"/>
          <w:rFonts w:ascii="新宋体" w:hAnsi="新宋体" w:eastAsia="新宋体"/>
          <w:color w:val="auto"/>
          <w:sz w:val="22"/>
          <w:szCs w:val="22"/>
          <w:highlight w:val="none"/>
        </w:rPr>
      </w:pPr>
      <w:r>
        <w:rPr>
          <w:rStyle w:val="27"/>
          <w:rFonts w:ascii="新宋体" w:hAnsi="新宋体" w:eastAsia="新宋体"/>
          <w:color w:val="auto"/>
          <w:sz w:val="22"/>
          <w:szCs w:val="22"/>
          <w:highlight w:val="none"/>
        </w:rPr>
        <w:t>2.此表仅提供了表格形式，</w:t>
      </w:r>
      <w:r>
        <w:rPr>
          <w:rStyle w:val="27"/>
          <w:rFonts w:hint="eastAsia" w:ascii="新宋体" w:hAnsi="新宋体" w:eastAsia="新宋体"/>
          <w:color w:val="auto"/>
          <w:sz w:val="22"/>
          <w:szCs w:val="22"/>
          <w:highlight w:val="none"/>
        </w:rPr>
        <w:t>供应商</w:t>
      </w:r>
      <w:r>
        <w:rPr>
          <w:rStyle w:val="27"/>
          <w:rFonts w:ascii="新宋体" w:hAnsi="新宋体" w:eastAsia="新宋体"/>
          <w:color w:val="auto"/>
          <w:sz w:val="22"/>
          <w:szCs w:val="22"/>
          <w:highlight w:val="none"/>
        </w:rPr>
        <w:t>应根据需要准备足够数量的表格来填写。</w:t>
      </w:r>
    </w:p>
    <w:p>
      <w:pPr>
        <w:ind w:left="737" w:leftChars="212" w:hanging="292" w:hangingChars="133"/>
        <w:rPr>
          <w:rStyle w:val="27"/>
          <w:rFonts w:ascii="新宋体" w:hAnsi="新宋体" w:eastAsia="新宋体"/>
          <w:color w:val="auto"/>
          <w:kern w:val="0"/>
          <w:sz w:val="22"/>
          <w:szCs w:val="22"/>
          <w:highlight w:val="none"/>
        </w:rPr>
      </w:pPr>
      <w:r>
        <w:rPr>
          <w:rStyle w:val="27"/>
          <w:rFonts w:ascii="新宋体" w:hAnsi="新宋体" w:eastAsia="新宋体"/>
          <w:color w:val="auto"/>
          <w:kern w:val="0"/>
          <w:sz w:val="22"/>
          <w:szCs w:val="22"/>
          <w:highlight w:val="none"/>
        </w:rPr>
        <w:t>3.不提供所投产品的品牌及型号，视为实质性偏离，做无效标处理。</w:t>
      </w:r>
    </w:p>
    <w:p>
      <w:pPr>
        <w:pStyle w:val="28"/>
        <w:ind w:firstLine="0" w:firstLineChars="0"/>
        <w:rPr>
          <w:rStyle w:val="27"/>
          <w:rFonts w:ascii="新宋体" w:hAnsi="新宋体" w:eastAsia="新宋体"/>
          <w:color w:val="auto"/>
          <w:highlight w:val="none"/>
        </w:rPr>
      </w:pPr>
    </w:p>
    <w:p>
      <w:pPr>
        <w:spacing w:line="460" w:lineRule="exact"/>
        <w:ind w:firstLine="4679" w:firstLineChars="2127"/>
        <w:rPr>
          <w:rStyle w:val="27"/>
          <w:rFonts w:ascii="新宋体" w:hAnsi="新宋体" w:eastAsia="新宋体"/>
          <w:color w:val="auto"/>
          <w:sz w:val="22"/>
          <w:szCs w:val="22"/>
          <w:highlight w:val="none"/>
        </w:rPr>
      </w:pP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投标人全称（盖章）：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法定代表人或授权代表（签字或盖章）：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pPr>
        <w:rPr>
          <w:rStyle w:val="27"/>
          <w:rFonts w:ascii="新宋体" w:hAnsi="新宋体" w:eastAsia="新宋体"/>
          <w:color w:val="auto"/>
          <w:sz w:val="22"/>
          <w:szCs w:val="22"/>
          <w:highlight w:val="none"/>
        </w:rPr>
      </w:pPr>
      <w:r>
        <w:rPr>
          <w:rStyle w:val="27"/>
          <w:rFonts w:ascii="新宋体" w:hAnsi="新宋体" w:eastAsia="新宋体"/>
          <w:color w:val="auto"/>
          <w:sz w:val="22"/>
          <w:szCs w:val="22"/>
          <w:highlight w:val="none"/>
        </w:rPr>
        <w:br w:type="page"/>
      </w:r>
    </w:p>
    <w:p>
      <w:pPr>
        <w:spacing w:line="460" w:lineRule="exact"/>
        <w:jc w:val="center"/>
        <w:rPr>
          <w:rFonts w:ascii="宋体" w:hAnsi="宋体" w:cs="宋体"/>
          <w:b/>
          <w:color w:val="auto"/>
          <w:kern w:val="1"/>
          <w:sz w:val="28"/>
          <w:szCs w:val="28"/>
          <w:highlight w:val="none"/>
        </w:rPr>
      </w:pPr>
      <w:r>
        <w:rPr>
          <w:rFonts w:ascii="宋体" w:hAnsi="宋体" w:cs="宋体"/>
          <w:b/>
          <w:color w:val="auto"/>
          <w:kern w:val="1"/>
          <w:sz w:val="28"/>
          <w:szCs w:val="28"/>
          <w:highlight w:val="none"/>
        </w:rPr>
        <w:t>（</w:t>
      </w:r>
      <w:r>
        <w:rPr>
          <w:rFonts w:hint="eastAsia" w:ascii="宋体" w:hAnsi="宋体" w:cs="宋体"/>
          <w:b/>
          <w:color w:val="auto"/>
          <w:kern w:val="1"/>
          <w:sz w:val="28"/>
          <w:szCs w:val="28"/>
          <w:highlight w:val="none"/>
        </w:rPr>
        <w:t>4</w:t>
      </w:r>
      <w:r>
        <w:rPr>
          <w:rFonts w:ascii="宋体" w:hAnsi="宋体" w:cs="宋体"/>
          <w:b/>
          <w:color w:val="auto"/>
          <w:kern w:val="1"/>
          <w:sz w:val="28"/>
          <w:szCs w:val="28"/>
          <w:highlight w:val="none"/>
        </w:rPr>
        <w:t>）随机附件及备品备件、专用工具一览表</w:t>
      </w:r>
    </w:p>
    <w:p>
      <w:pPr>
        <w:rPr>
          <w:rFonts w:ascii="宋体" w:hAnsi="宋体" w:cs="宋体"/>
          <w:color w:val="auto"/>
          <w:kern w:val="1"/>
          <w:sz w:val="32"/>
          <w:szCs w:val="32"/>
          <w:highlight w:val="none"/>
        </w:rPr>
      </w:pPr>
    </w:p>
    <w:p>
      <w:pPr>
        <w:rPr>
          <w:rFonts w:ascii="宋体" w:hAnsi="宋体" w:cs="宋体"/>
          <w:color w:val="auto"/>
          <w:kern w:val="1"/>
          <w:sz w:val="24"/>
          <w:highlight w:val="none"/>
        </w:rPr>
      </w:pPr>
      <w:r>
        <w:rPr>
          <w:rFonts w:ascii="宋体" w:hAnsi="宋体" w:cs="宋体"/>
          <w:bCs/>
          <w:color w:val="auto"/>
          <w:kern w:val="1"/>
          <w:sz w:val="22"/>
          <w:szCs w:val="22"/>
          <w:highlight w:val="none"/>
        </w:rPr>
        <w:t xml:space="preserve">项目名称：                                        </w:t>
      </w:r>
      <w:r>
        <w:rPr>
          <w:rFonts w:hint="eastAsia" w:ascii="宋体" w:hAnsi="宋体" w:cs="宋体"/>
          <w:bCs/>
          <w:color w:val="auto"/>
          <w:kern w:val="1"/>
          <w:sz w:val="22"/>
          <w:szCs w:val="22"/>
          <w:highlight w:val="none"/>
        </w:rPr>
        <w:t>项目编号</w:t>
      </w:r>
      <w:r>
        <w:rPr>
          <w:rFonts w:ascii="宋体" w:hAnsi="宋体" w:cs="宋体"/>
          <w:bCs/>
          <w:color w:val="auto"/>
          <w:kern w:val="1"/>
          <w:sz w:val="22"/>
          <w:szCs w:val="22"/>
          <w:highlight w:val="none"/>
        </w:rPr>
        <w:t>：</w:t>
      </w:r>
    </w:p>
    <w:tbl>
      <w:tblPr>
        <w:tblStyle w:val="18"/>
        <w:tblW w:w="0" w:type="auto"/>
        <w:tblInd w:w="0" w:type="dxa"/>
        <w:tblLayout w:type="fixed"/>
        <w:tblCellMar>
          <w:top w:w="0" w:type="dxa"/>
          <w:left w:w="108" w:type="dxa"/>
          <w:bottom w:w="0" w:type="dxa"/>
          <w:right w:w="108" w:type="dxa"/>
        </w:tblCellMar>
      </w:tblPr>
      <w:tblGrid>
        <w:gridCol w:w="2783"/>
        <w:gridCol w:w="1894"/>
        <w:gridCol w:w="1409"/>
        <w:gridCol w:w="1336"/>
        <w:gridCol w:w="1336"/>
        <w:gridCol w:w="1096"/>
      </w:tblGrid>
      <w:tr>
        <w:tblPrEx>
          <w:tblCellMar>
            <w:top w:w="0" w:type="dxa"/>
            <w:left w:w="108" w:type="dxa"/>
            <w:bottom w:w="0" w:type="dxa"/>
            <w:right w:w="108" w:type="dxa"/>
          </w:tblCellMar>
        </w:tblPrEx>
        <w:trPr>
          <w:cantSplit/>
          <w:trHeight w:val="831" w:hRule="atLeast"/>
        </w:trPr>
        <w:tc>
          <w:tcPr>
            <w:tcW w:w="2783" w:type="dxa"/>
            <w:tcBorders>
              <w:top w:val="single" w:color="000000" w:sz="12" w:space="0"/>
              <w:left w:val="single" w:color="000000" w:sz="12" w:space="0"/>
              <w:bottom w:val="single" w:color="000000" w:sz="12" w:space="0"/>
              <w:right w:val="single" w:color="000000" w:sz="4" w:space="0"/>
            </w:tcBorders>
            <w:vAlign w:val="center"/>
          </w:tcPr>
          <w:p>
            <w:pPr>
              <w:jc w:val="center"/>
              <w:rPr>
                <w:rFonts w:ascii="宋体" w:hAnsi="宋体" w:cs="宋体"/>
                <w:b/>
                <w:color w:val="auto"/>
                <w:kern w:val="1"/>
                <w:sz w:val="24"/>
                <w:highlight w:val="none"/>
              </w:rPr>
            </w:pPr>
            <w:r>
              <w:rPr>
                <w:rFonts w:ascii="宋体" w:hAnsi="宋体" w:cs="宋体"/>
                <w:b/>
                <w:color w:val="auto"/>
                <w:kern w:val="1"/>
                <w:sz w:val="24"/>
                <w:highlight w:val="none"/>
              </w:rPr>
              <w:t>设备名称</w:t>
            </w:r>
          </w:p>
        </w:tc>
        <w:tc>
          <w:tcPr>
            <w:tcW w:w="1894" w:type="dxa"/>
            <w:tcBorders>
              <w:top w:val="single" w:color="000000" w:sz="12" w:space="0"/>
              <w:left w:val="single" w:color="000000" w:sz="4" w:space="0"/>
              <w:bottom w:val="single" w:color="000000" w:sz="12" w:space="0"/>
              <w:right w:val="single" w:color="000000" w:sz="4" w:space="0"/>
            </w:tcBorders>
            <w:vAlign w:val="center"/>
          </w:tcPr>
          <w:p>
            <w:pPr>
              <w:jc w:val="center"/>
              <w:rPr>
                <w:rFonts w:ascii="宋体" w:hAnsi="宋体" w:cs="宋体"/>
                <w:b/>
                <w:color w:val="auto"/>
                <w:kern w:val="1"/>
                <w:sz w:val="24"/>
                <w:highlight w:val="none"/>
              </w:rPr>
            </w:pPr>
            <w:r>
              <w:rPr>
                <w:rFonts w:ascii="宋体" w:hAnsi="宋体" w:cs="宋体"/>
                <w:b/>
                <w:color w:val="auto"/>
                <w:kern w:val="1"/>
                <w:sz w:val="24"/>
                <w:highlight w:val="none"/>
              </w:rPr>
              <w:t>附件及备件、专用工具名称</w:t>
            </w:r>
          </w:p>
        </w:tc>
        <w:tc>
          <w:tcPr>
            <w:tcW w:w="1409" w:type="dxa"/>
            <w:tcBorders>
              <w:top w:val="single" w:color="000000" w:sz="12" w:space="0"/>
              <w:left w:val="single" w:color="000000" w:sz="4" w:space="0"/>
              <w:bottom w:val="single" w:color="000000" w:sz="12" w:space="0"/>
              <w:right w:val="single" w:color="000000" w:sz="4" w:space="0"/>
            </w:tcBorders>
            <w:vAlign w:val="center"/>
          </w:tcPr>
          <w:p>
            <w:pPr>
              <w:jc w:val="center"/>
              <w:rPr>
                <w:rFonts w:ascii="宋体" w:hAnsi="宋体" w:cs="宋体"/>
                <w:b/>
                <w:color w:val="auto"/>
                <w:kern w:val="1"/>
                <w:sz w:val="24"/>
                <w:highlight w:val="none"/>
              </w:rPr>
            </w:pPr>
            <w:r>
              <w:rPr>
                <w:rFonts w:ascii="宋体" w:hAnsi="宋体" w:cs="宋体"/>
                <w:b/>
                <w:color w:val="auto"/>
                <w:kern w:val="1"/>
                <w:sz w:val="24"/>
                <w:highlight w:val="none"/>
              </w:rPr>
              <w:t>品牌/产地</w:t>
            </w:r>
          </w:p>
        </w:tc>
        <w:tc>
          <w:tcPr>
            <w:tcW w:w="1336" w:type="dxa"/>
            <w:tcBorders>
              <w:top w:val="single" w:color="000000" w:sz="12" w:space="0"/>
              <w:left w:val="single" w:color="000000" w:sz="4" w:space="0"/>
              <w:bottom w:val="single" w:color="000000" w:sz="12" w:space="0"/>
              <w:right w:val="single" w:color="000000" w:sz="4" w:space="0"/>
            </w:tcBorders>
            <w:vAlign w:val="center"/>
          </w:tcPr>
          <w:p>
            <w:pPr>
              <w:jc w:val="center"/>
              <w:rPr>
                <w:rFonts w:ascii="宋体" w:hAnsi="宋体" w:cs="宋体"/>
                <w:b/>
                <w:color w:val="auto"/>
                <w:kern w:val="1"/>
                <w:sz w:val="24"/>
                <w:highlight w:val="none"/>
              </w:rPr>
            </w:pPr>
            <w:r>
              <w:rPr>
                <w:rFonts w:ascii="宋体" w:hAnsi="宋体" w:cs="宋体"/>
                <w:b/>
                <w:color w:val="auto"/>
                <w:kern w:val="1"/>
                <w:sz w:val="24"/>
                <w:highlight w:val="none"/>
              </w:rPr>
              <w:t>数量</w:t>
            </w:r>
          </w:p>
        </w:tc>
        <w:tc>
          <w:tcPr>
            <w:tcW w:w="1336" w:type="dxa"/>
            <w:tcBorders>
              <w:top w:val="single" w:color="000000" w:sz="12" w:space="0"/>
              <w:left w:val="single" w:color="000000" w:sz="4" w:space="0"/>
              <w:bottom w:val="single" w:color="000000" w:sz="12" w:space="0"/>
              <w:right w:val="single" w:color="000000" w:sz="4" w:space="0"/>
            </w:tcBorders>
            <w:vAlign w:val="center"/>
          </w:tcPr>
          <w:p>
            <w:pPr>
              <w:jc w:val="center"/>
              <w:rPr>
                <w:rFonts w:ascii="宋体" w:hAnsi="宋体" w:cs="宋体"/>
                <w:b/>
                <w:color w:val="auto"/>
                <w:kern w:val="1"/>
                <w:sz w:val="24"/>
                <w:highlight w:val="none"/>
              </w:rPr>
            </w:pPr>
            <w:r>
              <w:rPr>
                <w:rFonts w:ascii="宋体" w:hAnsi="宋体" w:cs="宋体"/>
                <w:b/>
                <w:color w:val="auto"/>
                <w:kern w:val="1"/>
                <w:sz w:val="24"/>
                <w:highlight w:val="none"/>
              </w:rPr>
              <w:t>包装形式</w:t>
            </w:r>
          </w:p>
        </w:tc>
        <w:tc>
          <w:tcPr>
            <w:tcW w:w="1096" w:type="dxa"/>
            <w:tcBorders>
              <w:top w:val="single" w:color="000000" w:sz="12" w:space="0"/>
              <w:left w:val="single" w:color="000000" w:sz="4" w:space="0"/>
              <w:bottom w:val="single" w:color="000000" w:sz="12" w:space="0"/>
              <w:right w:val="single" w:color="000000" w:sz="12" w:space="0"/>
            </w:tcBorders>
            <w:vAlign w:val="center"/>
          </w:tcPr>
          <w:p>
            <w:pPr>
              <w:jc w:val="center"/>
              <w:rPr>
                <w:rFonts w:ascii="宋体" w:hAnsi="宋体" w:cs="宋体"/>
                <w:b/>
                <w:color w:val="auto"/>
                <w:kern w:val="1"/>
                <w:sz w:val="24"/>
                <w:highlight w:val="none"/>
              </w:rPr>
            </w:pPr>
            <w:r>
              <w:rPr>
                <w:rFonts w:ascii="宋体" w:hAnsi="宋体" w:cs="宋体"/>
                <w:b/>
                <w:color w:val="auto"/>
                <w:kern w:val="1"/>
                <w:sz w:val="24"/>
                <w:highlight w:val="none"/>
              </w:rPr>
              <w:t>备注</w:t>
            </w:r>
          </w:p>
        </w:tc>
      </w:tr>
      <w:tr>
        <w:tblPrEx>
          <w:tblCellMar>
            <w:top w:w="0" w:type="dxa"/>
            <w:left w:w="108" w:type="dxa"/>
            <w:bottom w:w="0" w:type="dxa"/>
            <w:right w:w="108" w:type="dxa"/>
          </w:tblCellMar>
        </w:tblPrEx>
        <w:trPr>
          <w:cantSplit/>
          <w:trHeight w:val="520" w:hRule="atLeast"/>
        </w:trPr>
        <w:tc>
          <w:tcPr>
            <w:tcW w:w="2783" w:type="dxa"/>
            <w:tcBorders>
              <w:top w:val="single" w:color="000000" w:sz="12" w:space="0"/>
              <w:left w:val="single" w:color="000000" w:sz="12" w:space="0"/>
              <w:bottom w:val="single" w:color="000000" w:sz="4" w:space="0"/>
              <w:right w:val="single" w:color="000000" w:sz="4" w:space="0"/>
            </w:tcBorders>
            <w:vAlign w:val="center"/>
          </w:tcPr>
          <w:p>
            <w:pPr>
              <w:ind w:firstLine="592"/>
              <w:jc w:val="center"/>
              <w:rPr>
                <w:rFonts w:ascii="宋体" w:hAnsi="宋体" w:cs="宋体"/>
                <w:color w:val="auto"/>
                <w:kern w:val="1"/>
                <w:sz w:val="24"/>
                <w:highlight w:val="none"/>
              </w:rPr>
            </w:pPr>
          </w:p>
        </w:tc>
        <w:tc>
          <w:tcPr>
            <w:tcW w:w="1894" w:type="dxa"/>
            <w:tcBorders>
              <w:top w:val="single" w:color="000000" w:sz="12"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sz w:val="24"/>
                <w:highlight w:val="none"/>
              </w:rPr>
            </w:pPr>
          </w:p>
        </w:tc>
        <w:tc>
          <w:tcPr>
            <w:tcW w:w="1409" w:type="dxa"/>
            <w:tcBorders>
              <w:top w:val="single" w:color="000000" w:sz="12"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sz w:val="24"/>
                <w:highlight w:val="none"/>
              </w:rPr>
            </w:pPr>
          </w:p>
        </w:tc>
        <w:tc>
          <w:tcPr>
            <w:tcW w:w="1336" w:type="dxa"/>
            <w:tcBorders>
              <w:top w:val="single" w:color="000000" w:sz="12"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sz w:val="24"/>
                <w:highlight w:val="none"/>
              </w:rPr>
            </w:pPr>
          </w:p>
        </w:tc>
        <w:tc>
          <w:tcPr>
            <w:tcW w:w="1336" w:type="dxa"/>
            <w:tcBorders>
              <w:top w:val="single" w:color="000000" w:sz="12"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sz w:val="24"/>
                <w:highlight w:val="none"/>
              </w:rPr>
            </w:pPr>
          </w:p>
        </w:tc>
        <w:tc>
          <w:tcPr>
            <w:tcW w:w="1096" w:type="dxa"/>
            <w:tcBorders>
              <w:top w:val="single" w:color="000000" w:sz="12" w:space="0"/>
              <w:left w:val="single" w:color="000000" w:sz="4" w:space="0"/>
              <w:bottom w:val="single" w:color="000000" w:sz="4" w:space="0"/>
              <w:right w:val="single" w:color="000000" w:sz="12" w:space="0"/>
            </w:tcBorders>
            <w:vAlign w:val="center"/>
          </w:tcPr>
          <w:p>
            <w:pPr>
              <w:ind w:firstLine="592"/>
              <w:jc w:val="center"/>
              <w:rPr>
                <w:rFonts w:ascii="宋体" w:hAnsi="宋体" w:cs="宋体"/>
                <w:color w:val="auto"/>
                <w:kern w:val="1"/>
                <w:sz w:val="24"/>
                <w:highlight w:val="none"/>
              </w:rPr>
            </w:pPr>
          </w:p>
        </w:tc>
      </w:tr>
      <w:tr>
        <w:tblPrEx>
          <w:tblCellMar>
            <w:top w:w="0" w:type="dxa"/>
            <w:left w:w="108" w:type="dxa"/>
            <w:bottom w:w="0" w:type="dxa"/>
            <w:right w:w="108" w:type="dxa"/>
          </w:tblCellMar>
        </w:tblPrEx>
        <w:trPr>
          <w:cantSplit/>
          <w:trHeight w:val="520" w:hRule="atLeast"/>
        </w:trPr>
        <w:tc>
          <w:tcPr>
            <w:tcW w:w="2783" w:type="dxa"/>
            <w:tcBorders>
              <w:top w:val="single" w:color="000000" w:sz="4" w:space="0"/>
              <w:left w:val="single" w:color="000000" w:sz="12" w:space="0"/>
              <w:bottom w:val="single" w:color="000000" w:sz="4" w:space="0"/>
              <w:right w:val="single" w:color="000000" w:sz="4" w:space="0"/>
            </w:tcBorders>
            <w:vAlign w:val="center"/>
          </w:tcPr>
          <w:p>
            <w:pPr>
              <w:ind w:firstLine="592"/>
              <w:jc w:val="center"/>
              <w:rPr>
                <w:rFonts w:ascii="宋体" w:hAnsi="宋体" w:cs="宋体"/>
                <w:color w:val="auto"/>
                <w:kern w:val="1"/>
                <w:sz w:val="24"/>
                <w:highlight w:val="none"/>
              </w:rPr>
            </w:pPr>
          </w:p>
        </w:tc>
        <w:tc>
          <w:tcPr>
            <w:tcW w:w="1894"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sz w:val="24"/>
                <w:highlight w:val="none"/>
              </w:rPr>
            </w:pPr>
          </w:p>
        </w:tc>
        <w:tc>
          <w:tcPr>
            <w:tcW w:w="1409"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sz w:val="24"/>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sz w:val="24"/>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sz w:val="24"/>
                <w:highlight w:val="none"/>
              </w:rPr>
            </w:pPr>
          </w:p>
        </w:tc>
        <w:tc>
          <w:tcPr>
            <w:tcW w:w="1096" w:type="dxa"/>
            <w:tcBorders>
              <w:top w:val="single" w:color="000000" w:sz="4" w:space="0"/>
              <w:left w:val="single" w:color="000000" w:sz="4" w:space="0"/>
              <w:bottom w:val="single" w:color="000000" w:sz="4" w:space="0"/>
              <w:right w:val="single" w:color="000000" w:sz="12" w:space="0"/>
            </w:tcBorders>
            <w:vAlign w:val="center"/>
          </w:tcPr>
          <w:p>
            <w:pPr>
              <w:ind w:firstLine="592"/>
              <w:jc w:val="center"/>
              <w:rPr>
                <w:rFonts w:ascii="宋体" w:hAnsi="宋体" w:cs="宋体"/>
                <w:color w:val="auto"/>
                <w:kern w:val="1"/>
                <w:sz w:val="24"/>
                <w:highlight w:val="none"/>
              </w:rPr>
            </w:pPr>
          </w:p>
        </w:tc>
      </w:tr>
      <w:tr>
        <w:tblPrEx>
          <w:tblCellMar>
            <w:top w:w="0" w:type="dxa"/>
            <w:left w:w="108" w:type="dxa"/>
            <w:bottom w:w="0" w:type="dxa"/>
            <w:right w:w="108" w:type="dxa"/>
          </w:tblCellMar>
        </w:tblPrEx>
        <w:trPr>
          <w:cantSplit/>
          <w:trHeight w:val="520" w:hRule="atLeast"/>
        </w:trPr>
        <w:tc>
          <w:tcPr>
            <w:tcW w:w="2783" w:type="dxa"/>
            <w:tcBorders>
              <w:top w:val="single" w:color="000000" w:sz="4" w:space="0"/>
              <w:left w:val="single" w:color="000000" w:sz="12"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894"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409"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096" w:type="dxa"/>
            <w:tcBorders>
              <w:top w:val="single" w:color="000000" w:sz="4" w:space="0"/>
              <w:left w:val="single" w:color="000000" w:sz="4" w:space="0"/>
              <w:bottom w:val="single" w:color="000000" w:sz="4" w:space="0"/>
              <w:right w:val="single" w:color="000000" w:sz="12" w:space="0"/>
            </w:tcBorders>
            <w:vAlign w:val="center"/>
          </w:tcPr>
          <w:p>
            <w:pPr>
              <w:ind w:firstLine="592"/>
              <w:jc w:val="center"/>
              <w:rPr>
                <w:rFonts w:ascii="宋体" w:hAnsi="宋体" w:cs="宋体"/>
                <w:color w:val="auto"/>
                <w:kern w:val="1"/>
                <w:highlight w:val="none"/>
              </w:rPr>
            </w:pPr>
          </w:p>
        </w:tc>
      </w:tr>
      <w:tr>
        <w:tblPrEx>
          <w:tblCellMar>
            <w:top w:w="0" w:type="dxa"/>
            <w:left w:w="108" w:type="dxa"/>
            <w:bottom w:w="0" w:type="dxa"/>
            <w:right w:w="108" w:type="dxa"/>
          </w:tblCellMar>
        </w:tblPrEx>
        <w:trPr>
          <w:cantSplit/>
          <w:trHeight w:val="520" w:hRule="atLeast"/>
        </w:trPr>
        <w:tc>
          <w:tcPr>
            <w:tcW w:w="2783" w:type="dxa"/>
            <w:tcBorders>
              <w:top w:val="single" w:color="000000" w:sz="4" w:space="0"/>
              <w:left w:val="single" w:color="000000" w:sz="12"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894"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409"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096" w:type="dxa"/>
            <w:tcBorders>
              <w:top w:val="single" w:color="000000" w:sz="4" w:space="0"/>
              <w:left w:val="single" w:color="000000" w:sz="4" w:space="0"/>
              <w:bottom w:val="single" w:color="000000" w:sz="4" w:space="0"/>
              <w:right w:val="single" w:color="000000" w:sz="12" w:space="0"/>
            </w:tcBorders>
            <w:vAlign w:val="center"/>
          </w:tcPr>
          <w:p>
            <w:pPr>
              <w:ind w:firstLine="592"/>
              <w:jc w:val="center"/>
              <w:rPr>
                <w:rFonts w:ascii="宋体" w:hAnsi="宋体" w:cs="宋体"/>
                <w:color w:val="auto"/>
                <w:kern w:val="1"/>
                <w:highlight w:val="none"/>
              </w:rPr>
            </w:pPr>
          </w:p>
        </w:tc>
      </w:tr>
      <w:tr>
        <w:tblPrEx>
          <w:tblCellMar>
            <w:top w:w="0" w:type="dxa"/>
            <w:left w:w="108" w:type="dxa"/>
            <w:bottom w:w="0" w:type="dxa"/>
            <w:right w:w="108" w:type="dxa"/>
          </w:tblCellMar>
        </w:tblPrEx>
        <w:trPr>
          <w:cantSplit/>
          <w:trHeight w:val="520" w:hRule="atLeast"/>
        </w:trPr>
        <w:tc>
          <w:tcPr>
            <w:tcW w:w="2783" w:type="dxa"/>
            <w:tcBorders>
              <w:top w:val="single" w:color="000000" w:sz="4" w:space="0"/>
              <w:left w:val="single" w:color="000000" w:sz="12"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894"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409"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096" w:type="dxa"/>
            <w:tcBorders>
              <w:top w:val="single" w:color="000000" w:sz="4" w:space="0"/>
              <w:left w:val="single" w:color="000000" w:sz="4" w:space="0"/>
              <w:bottom w:val="single" w:color="000000" w:sz="4" w:space="0"/>
              <w:right w:val="single" w:color="000000" w:sz="12" w:space="0"/>
            </w:tcBorders>
            <w:vAlign w:val="center"/>
          </w:tcPr>
          <w:p>
            <w:pPr>
              <w:ind w:firstLine="592"/>
              <w:jc w:val="center"/>
              <w:rPr>
                <w:rFonts w:ascii="宋体" w:hAnsi="宋体" w:cs="宋体"/>
                <w:color w:val="auto"/>
                <w:kern w:val="1"/>
                <w:highlight w:val="none"/>
              </w:rPr>
            </w:pPr>
          </w:p>
        </w:tc>
      </w:tr>
      <w:tr>
        <w:tblPrEx>
          <w:tblCellMar>
            <w:top w:w="0" w:type="dxa"/>
            <w:left w:w="108" w:type="dxa"/>
            <w:bottom w:w="0" w:type="dxa"/>
            <w:right w:w="108" w:type="dxa"/>
          </w:tblCellMar>
        </w:tblPrEx>
        <w:trPr>
          <w:cantSplit/>
          <w:trHeight w:val="520" w:hRule="atLeast"/>
        </w:trPr>
        <w:tc>
          <w:tcPr>
            <w:tcW w:w="2783" w:type="dxa"/>
            <w:tcBorders>
              <w:top w:val="single" w:color="000000" w:sz="4" w:space="0"/>
              <w:left w:val="single" w:color="000000" w:sz="12"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894"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409"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096" w:type="dxa"/>
            <w:tcBorders>
              <w:top w:val="single" w:color="000000" w:sz="4" w:space="0"/>
              <w:left w:val="single" w:color="000000" w:sz="4" w:space="0"/>
              <w:bottom w:val="single" w:color="000000" w:sz="4" w:space="0"/>
              <w:right w:val="single" w:color="000000" w:sz="12" w:space="0"/>
            </w:tcBorders>
            <w:vAlign w:val="center"/>
          </w:tcPr>
          <w:p>
            <w:pPr>
              <w:ind w:firstLine="592"/>
              <w:jc w:val="center"/>
              <w:rPr>
                <w:rFonts w:ascii="宋体" w:hAnsi="宋体" w:cs="宋体"/>
                <w:color w:val="auto"/>
                <w:kern w:val="1"/>
                <w:highlight w:val="none"/>
              </w:rPr>
            </w:pPr>
          </w:p>
        </w:tc>
      </w:tr>
      <w:tr>
        <w:tblPrEx>
          <w:tblCellMar>
            <w:top w:w="0" w:type="dxa"/>
            <w:left w:w="108" w:type="dxa"/>
            <w:bottom w:w="0" w:type="dxa"/>
            <w:right w:w="108" w:type="dxa"/>
          </w:tblCellMar>
        </w:tblPrEx>
        <w:trPr>
          <w:cantSplit/>
          <w:trHeight w:val="520" w:hRule="atLeast"/>
        </w:trPr>
        <w:tc>
          <w:tcPr>
            <w:tcW w:w="2783" w:type="dxa"/>
            <w:tcBorders>
              <w:top w:val="single" w:color="000000" w:sz="4" w:space="0"/>
              <w:left w:val="single" w:color="000000" w:sz="12"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894"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409"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096" w:type="dxa"/>
            <w:tcBorders>
              <w:top w:val="single" w:color="000000" w:sz="4" w:space="0"/>
              <w:left w:val="single" w:color="000000" w:sz="4" w:space="0"/>
              <w:bottom w:val="single" w:color="000000" w:sz="4" w:space="0"/>
              <w:right w:val="single" w:color="000000" w:sz="12" w:space="0"/>
            </w:tcBorders>
            <w:vAlign w:val="center"/>
          </w:tcPr>
          <w:p>
            <w:pPr>
              <w:ind w:firstLine="592"/>
              <w:jc w:val="center"/>
              <w:rPr>
                <w:rFonts w:ascii="宋体" w:hAnsi="宋体" w:cs="宋体"/>
                <w:color w:val="auto"/>
                <w:kern w:val="1"/>
                <w:highlight w:val="none"/>
              </w:rPr>
            </w:pPr>
          </w:p>
        </w:tc>
      </w:tr>
      <w:tr>
        <w:tblPrEx>
          <w:tblCellMar>
            <w:top w:w="0" w:type="dxa"/>
            <w:left w:w="108" w:type="dxa"/>
            <w:bottom w:w="0" w:type="dxa"/>
            <w:right w:w="108" w:type="dxa"/>
          </w:tblCellMar>
        </w:tblPrEx>
        <w:trPr>
          <w:cantSplit/>
          <w:trHeight w:val="520" w:hRule="atLeast"/>
        </w:trPr>
        <w:tc>
          <w:tcPr>
            <w:tcW w:w="2783" w:type="dxa"/>
            <w:tcBorders>
              <w:top w:val="single" w:color="000000" w:sz="4" w:space="0"/>
              <w:left w:val="single" w:color="000000" w:sz="12"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894"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409"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096" w:type="dxa"/>
            <w:tcBorders>
              <w:top w:val="single" w:color="000000" w:sz="4" w:space="0"/>
              <w:left w:val="single" w:color="000000" w:sz="4" w:space="0"/>
              <w:bottom w:val="single" w:color="000000" w:sz="4" w:space="0"/>
              <w:right w:val="single" w:color="000000" w:sz="12" w:space="0"/>
            </w:tcBorders>
            <w:vAlign w:val="center"/>
          </w:tcPr>
          <w:p>
            <w:pPr>
              <w:ind w:firstLine="592"/>
              <w:jc w:val="center"/>
              <w:rPr>
                <w:rFonts w:ascii="宋体" w:hAnsi="宋体" w:cs="宋体"/>
                <w:color w:val="auto"/>
                <w:kern w:val="1"/>
                <w:highlight w:val="none"/>
              </w:rPr>
            </w:pPr>
          </w:p>
        </w:tc>
      </w:tr>
      <w:tr>
        <w:tblPrEx>
          <w:tblCellMar>
            <w:top w:w="0" w:type="dxa"/>
            <w:left w:w="108" w:type="dxa"/>
            <w:bottom w:w="0" w:type="dxa"/>
            <w:right w:w="108" w:type="dxa"/>
          </w:tblCellMar>
        </w:tblPrEx>
        <w:trPr>
          <w:cantSplit/>
          <w:trHeight w:val="520" w:hRule="atLeast"/>
        </w:trPr>
        <w:tc>
          <w:tcPr>
            <w:tcW w:w="2783" w:type="dxa"/>
            <w:tcBorders>
              <w:top w:val="single" w:color="000000" w:sz="4" w:space="0"/>
              <w:left w:val="single" w:color="000000" w:sz="12"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894"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409"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096" w:type="dxa"/>
            <w:tcBorders>
              <w:top w:val="single" w:color="000000" w:sz="4" w:space="0"/>
              <w:left w:val="single" w:color="000000" w:sz="4" w:space="0"/>
              <w:bottom w:val="single" w:color="000000" w:sz="4" w:space="0"/>
              <w:right w:val="single" w:color="000000" w:sz="12" w:space="0"/>
            </w:tcBorders>
            <w:vAlign w:val="center"/>
          </w:tcPr>
          <w:p>
            <w:pPr>
              <w:ind w:firstLine="592"/>
              <w:jc w:val="center"/>
              <w:rPr>
                <w:rFonts w:ascii="宋体" w:hAnsi="宋体" w:cs="宋体"/>
                <w:color w:val="auto"/>
                <w:kern w:val="1"/>
                <w:highlight w:val="none"/>
              </w:rPr>
            </w:pPr>
          </w:p>
        </w:tc>
      </w:tr>
      <w:tr>
        <w:tblPrEx>
          <w:tblCellMar>
            <w:top w:w="0" w:type="dxa"/>
            <w:left w:w="108" w:type="dxa"/>
            <w:bottom w:w="0" w:type="dxa"/>
            <w:right w:w="108" w:type="dxa"/>
          </w:tblCellMar>
        </w:tblPrEx>
        <w:trPr>
          <w:cantSplit/>
          <w:trHeight w:val="520" w:hRule="atLeast"/>
        </w:trPr>
        <w:tc>
          <w:tcPr>
            <w:tcW w:w="2783" w:type="dxa"/>
            <w:tcBorders>
              <w:top w:val="single" w:color="000000" w:sz="4" w:space="0"/>
              <w:left w:val="single" w:color="000000" w:sz="12"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894"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409"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096" w:type="dxa"/>
            <w:tcBorders>
              <w:top w:val="single" w:color="000000" w:sz="4" w:space="0"/>
              <w:left w:val="single" w:color="000000" w:sz="4" w:space="0"/>
              <w:bottom w:val="single" w:color="000000" w:sz="4" w:space="0"/>
              <w:right w:val="single" w:color="000000" w:sz="12" w:space="0"/>
            </w:tcBorders>
            <w:vAlign w:val="center"/>
          </w:tcPr>
          <w:p>
            <w:pPr>
              <w:ind w:firstLine="592"/>
              <w:jc w:val="center"/>
              <w:rPr>
                <w:rFonts w:ascii="宋体" w:hAnsi="宋体" w:cs="宋体"/>
                <w:color w:val="auto"/>
                <w:kern w:val="1"/>
                <w:highlight w:val="none"/>
              </w:rPr>
            </w:pPr>
          </w:p>
        </w:tc>
      </w:tr>
      <w:tr>
        <w:tblPrEx>
          <w:tblCellMar>
            <w:top w:w="0" w:type="dxa"/>
            <w:left w:w="108" w:type="dxa"/>
            <w:bottom w:w="0" w:type="dxa"/>
            <w:right w:w="108" w:type="dxa"/>
          </w:tblCellMar>
        </w:tblPrEx>
        <w:trPr>
          <w:cantSplit/>
          <w:trHeight w:val="520" w:hRule="atLeast"/>
        </w:trPr>
        <w:tc>
          <w:tcPr>
            <w:tcW w:w="2783" w:type="dxa"/>
            <w:tcBorders>
              <w:top w:val="single" w:color="000000" w:sz="4" w:space="0"/>
              <w:left w:val="single" w:color="000000" w:sz="12"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894"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409"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096" w:type="dxa"/>
            <w:tcBorders>
              <w:top w:val="single" w:color="000000" w:sz="4" w:space="0"/>
              <w:left w:val="single" w:color="000000" w:sz="4" w:space="0"/>
              <w:bottom w:val="single" w:color="000000" w:sz="4" w:space="0"/>
              <w:right w:val="single" w:color="000000" w:sz="12" w:space="0"/>
            </w:tcBorders>
            <w:vAlign w:val="center"/>
          </w:tcPr>
          <w:p>
            <w:pPr>
              <w:ind w:firstLine="592"/>
              <w:jc w:val="center"/>
              <w:rPr>
                <w:rFonts w:ascii="宋体" w:hAnsi="宋体" w:cs="宋体"/>
                <w:color w:val="auto"/>
                <w:kern w:val="1"/>
                <w:highlight w:val="none"/>
              </w:rPr>
            </w:pPr>
          </w:p>
        </w:tc>
      </w:tr>
      <w:tr>
        <w:tblPrEx>
          <w:tblCellMar>
            <w:top w:w="0" w:type="dxa"/>
            <w:left w:w="108" w:type="dxa"/>
            <w:bottom w:w="0" w:type="dxa"/>
            <w:right w:w="108" w:type="dxa"/>
          </w:tblCellMar>
        </w:tblPrEx>
        <w:trPr>
          <w:cantSplit/>
          <w:trHeight w:val="520" w:hRule="atLeast"/>
        </w:trPr>
        <w:tc>
          <w:tcPr>
            <w:tcW w:w="2783" w:type="dxa"/>
            <w:tcBorders>
              <w:top w:val="single" w:color="000000" w:sz="4" w:space="0"/>
              <w:left w:val="single" w:color="000000" w:sz="12"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894"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409"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4" w:space="0"/>
              <w:right w:val="single" w:color="000000" w:sz="4" w:space="0"/>
            </w:tcBorders>
            <w:vAlign w:val="center"/>
          </w:tcPr>
          <w:p>
            <w:pPr>
              <w:ind w:firstLine="592"/>
              <w:jc w:val="center"/>
              <w:rPr>
                <w:rFonts w:ascii="宋体" w:hAnsi="宋体" w:cs="宋体"/>
                <w:color w:val="auto"/>
                <w:kern w:val="1"/>
                <w:highlight w:val="none"/>
              </w:rPr>
            </w:pPr>
          </w:p>
        </w:tc>
        <w:tc>
          <w:tcPr>
            <w:tcW w:w="1096" w:type="dxa"/>
            <w:tcBorders>
              <w:top w:val="single" w:color="000000" w:sz="4" w:space="0"/>
              <w:left w:val="single" w:color="000000" w:sz="4" w:space="0"/>
              <w:bottom w:val="single" w:color="000000" w:sz="4" w:space="0"/>
              <w:right w:val="single" w:color="000000" w:sz="12" w:space="0"/>
            </w:tcBorders>
            <w:vAlign w:val="center"/>
          </w:tcPr>
          <w:p>
            <w:pPr>
              <w:ind w:firstLine="592"/>
              <w:jc w:val="center"/>
              <w:rPr>
                <w:rFonts w:ascii="宋体" w:hAnsi="宋体" w:cs="宋体"/>
                <w:color w:val="auto"/>
                <w:kern w:val="1"/>
                <w:highlight w:val="none"/>
              </w:rPr>
            </w:pPr>
          </w:p>
        </w:tc>
      </w:tr>
      <w:tr>
        <w:tblPrEx>
          <w:tblCellMar>
            <w:top w:w="0" w:type="dxa"/>
            <w:left w:w="108" w:type="dxa"/>
            <w:bottom w:w="0" w:type="dxa"/>
            <w:right w:w="108" w:type="dxa"/>
          </w:tblCellMar>
        </w:tblPrEx>
        <w:trPr>
          <w:cantSplit/>
          <w:trHeight w:val="520" w:hRule="atLeast"/>
        </w:trPr>
        <w:tc>
          <w:tcPr>
            <w:tcW w:w="2783" w:type="dxa"/>
            <w:tcBorders>
              <w:top w:val="single" w:color="000000" w:sz="4" w:space="0"/>
              <w:left w:val="single" w:color="000000" w:sz="12" w:space="0"/>
              <w:bottom w:val="single" w:color="000000" w:sz="12" w:space="0"/>
              <w:right w:val="single" w:color="000000" w:sz="4" w:space="0"/>
            </w:tcBorders>
            <w:vAlign w:val="center"/>
          </w:tcPr>
          <w:p>
            <w:pPr>
              <w:ind w:firstLine="592"/>
              <w:jc w:val="center"/>
              <w:rPr>
                <w:rFonts w:ascii="宋体" w:hAnsi="宋体" w:cs="宋体"/>
                <w:color w:val="auto"/>
                <w:kern w:val="1"/>
                <w:highlight w:val="none"/>
              </w:rPr>
            </w:pPr>
          </w:p>
        </w:tc>
        <w:tc>
          <w:tcPr>
            <w:tcW w:w="1894" w:type="dxa"/>
            <w:tcBorders>
              <w:top w:val="single" w:color="000000" w:sz="4" w:space="0"/>
              <w:left w:val="single" w:color="000000" w:sz="4" w:space="0"/>
              <w:bottom w:val="single" w:color="000000" w:sz="12" w:space="0"/>
              <w:right w:val="single" w:color="000000" w:sz="4" w:space="0"/>
            </w:tcBorders>
            <w:vAlign w:val="center"/>
          </w:tcPr>
          <w:p>
            <w:pPr>
              <w:ind w:firstLine="592"/>
              <w:jc w:val="center"/>
              <w:rPr>
                <w:rFonts w:ascii="宋体" w:hAnsi="宋体" w:cs="宋体"/>
                <w:color w:val="auto"/>
                <w:kern w:val="1"/>
                <w:highlight w:val="none"/>
              </w:rPr>
            </w:pPr>
          </w:p>
        </w:tc>
        <w:tc>
          <w:tcPr>
            <w:tcW w:w="1409" w:type="dxa"/>
            <w:tcBorders>
              <w:top w:val="single" w:color="000000" w:sz="4" w:space="0"/>
              <w:left w:val="single" w:color="000000" w:sz="4" w:space="0"/>
              <w:bottom w:val="single" w:color="000000" w:sz="12"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12" w:space="0"/>
              <w:right w:val="single" w:color="000000" w:sz="4" w:space="0"/>
            </w:tcBorders>
            <w:vAlign w:val="center"/>
          </w:tcPr>
          <w:p>
            <w:pPr>
              <w:ind w:firstLine="592"/>
              <w:jc w:val="center"/>
              <w:rPr>
                <w:rFonts w:ascii="宋体" w:hAnsi="宋体" w:cs="宋体"/>
                <w:color w:val="auto"/>
                <w:kern w:val="1"/>
                <w:highlight w:val="none"/>
              </w:rPr>
            </w:pPr>
          </w:p>
        </w:tc>
        <w:tc>
          <w:tcPr>
            <w:tcW w:w="1336" w:type="dxa"/>
            <w:tcBorders>
              <w:top w:val="single" w:color="000000" w:sz="4" w:space="0"/>
              <w:left w:val="single" w:color="000000" w:sz="4" w:space="0"/>
              <w:bottom w:val="single" w:color="000000" w:sz="12" w:space="0"/>
              <w:right w:val="single" w:color="000000" w:sz="4" w:space="0"/>
            </w:tcBorders>
            <w:vAlign w:val="center"/>
          </w:tcPr>
          <w:p>
            <w:pPr>
              <w:ind w:firstLine="592"/>
              <w:jc w:val="center"/>
              <w:rPr>
                <w:rFonts w:ascii="宋体" w:hAnsi="宋体" w:cs="宋体"/>
                <w:color w:val="auto"/>
                <w:kern w:val="1"/>
                <w:highlight w:val="none"/>
              </w:rPr>
            </w:pPr>
          </w:p>
        </w:tc>
        <w:tc>
          <w:tcPr>
            <w:tcW w:w="1096" w:type="dxa"/>
            <w:tcBorders>
              <w:top w:val="single" w:color="000000" w:sz="4" w:space="0"/>
              <w:left w:val="single" w:color="000000" w:sz="4" w:space="0"/>
              <w:bottom w:val="single" w:color="000000" w:sz="12" w:space="0"/>
              <w:right w:val="single" w:color="000000" w:sz="12" w:space="0"/>
            </w:tcBorders>
            <w:vAlign w:val="center"/>
          </w:tcPr>
          <w:p>
            <w:pPr>
              <w:ind w:firstLine="592"/>
              <w:jc w:val="center"/>
              <w:rPr>
                <w:rFonts w:ascii="宋体" w:hAnsi="宋体" w:cs="宋体"/>
                <w:color w:val="auto"/>
                <w:kern w:val="1"/>
                <w:highlight w:val="none"/>
              </w:rPr>
            </w:pPr>
          </w:p>
        </w:tc>
      </w:tr>
    </w:tbl>
    <w:p>
      <w:pPr>
        <w:pStyle w:val="7"/>
        <w:spacing w:line="240" w:lineRule="auto"/>
        <w:ind w:left="26" w:hanging="204"/>
        <w:jc w:val="lef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注： 1. 本表所列为随设备所带的附件及备品备件。</w:t>
      </w:r>
    </w:p>
    <w:p>
      <w:pPr>
        <w:pStyle w:val="7"/>
        <w:spacing w:line="240" w:lineRule="auto"/>
        <w:ind w:left="26" w:hanging="204"/>
        <w:jc w:val="lef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2. 此表仅提供了表格形式，投标人应根据需要准备足够数量的表格来填写。</w:t>
      </w:r>
    </w:p>
    <w:p>
      <w:pPr>
        <w:pStyle w:val="7"/>
        <w:spacing w:line="240" w:lineRule="auto"/>
        <w:jc w:val="left"/>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3. 设备验收时，实到的随机备品备件的产地等应与此一览表一一对应。</w:t>
      </w:r>
    </w:p>
    <w:p>
      <w:pPr>
        <w:pStyle w:val="24"/>
        <w:widowControl w:val="0"/>
        <w:pBdr>
          <w:left w:val="none" w:color="auto" w:sz="0" w:space="0"/>
          <w:bottom w:val="none" w:color="auto" w:sz="0" w:space="0"/>
          <w:right w:val="none" w:color="auto" w:sz="0" w:space="0"/>
        </w:pBdr>
        <w:spacing w:before="0" w:beforeAutospacing="0" w:after="0" w:afterAutospacing="0"/>
        <w:rPr>
          <w:rFonts w:ascii="宋体" w:hAnsi="宋体" w:eastAsia="宋体" w:cs="宋体"/>
          <w:color w:val="auto"/>
          <w:kern w:val="1"/>
          <w:sz w:val="22"/>
          <w:highlight w:val="none"/>
        </w:rPr>
      </w:pPr>
    </w:p>
    <w:p>
      <w:pPr>
        <w:spacing w:line="460" w:lineRule="exact"/>
        <w:ind w:firstLine="4679" w:firstLineChars="2127"/>
        <w:rPr>
          <w:rStyle w:val="27"/>
          <w:rFonts w:ascii="新宋体" w:hAnsi="新宋体" w:eastAsia="新宋体"/>
          <w:color w:val="auto"/>
          <w:sz w:val="22"/>
          <w:szCs w:val="22"/>
          <w:highlight w:val="none"/>
        </w:rPr>
      </w:pP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投标人全称（盖章）：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法定代表人或授权代表（签字或盖章）：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pPr>
        <w:tabs>
          <w:tab w:val="left" w:pos="840"/>
        </w:tabs>
        <w:adjustRightInd w:val="0"/>
        <w:snapToGrid w:val="0"/>
        <w:spacing w:line="360" w:lineRule="auto"/>
        <w:ind w:left="420" w:leftChars="200" w:firstLine="330" w:firstLineChars="150"/>
        <w:rPr>
          <w:rFonts w:ascii="宋体" w:hAnsi="宋体" w:cs="宋体"/>
          <w:color w:val="auto"/>
          <w:kern w:val="1"/>
          <w:sz w:val="22"/>
          <w:szCs w:val="22"/>
          <w:highlight w:val="none"/>
        </w:rPr>
      </w:pPr>
    </w:p>
    <w:p>
      <w:pPr>
        <w:tabs>
          <w:tab w:val="left" w:pos="780"/>
        </w:tabs>
        <w:spacing w:line="400" w:lineRule="exact"/>
        <w:ind w:left="180"/>
        <w:rPr>
          <w:rStyle w:val="27"/>
          <w:rFonts w:ascii="新宋体" w:hAnsi="新宋体" w:eastAsia="新宋体" w:cs="新宋体"/>
          <w:b/>
          <w:bCs/>
          <w:color w:val="auto"/>
          <w:sz w:val="22"/>
          <w:szCs w:val="22"/>
          <w:highlight w:val="none"/>
        </w:rPr>
      </w:pPr>
      <w:r>
        <w:rPr>
          <w:rStyle w:val="27"/>
          <w:rFonts w:ascii="新宋体" w:hAnsi="新宋体" w:eastAsia="新宋体"/>
          <w:color w:val="auto"/>
          <w:sz w:val="22"/>
          <w:szCs w:val="22"/>
          <w:highlight w:val="none"/>
        </w:rPr>
        <w:br w:type="page"/>
      </w:r>
      <w:r>
        <w:rPr>
          <w:rStyle w:val="27"/>
          <w:rFonts w:ascii="新宋体" w:hAnsi="新宋体" w:eastAsia="新宋体" w:cs="新宋体"/>
          <w:b/>
          <w:bCs/>
          <w:color w:val="auto"/>
          <w:sz w:val="22"/>
          <w:szCs w:val="22"/>
          <w:highlight w:val="none"/>
        </w:rPr>
        <w:t>附件三</w:t>
      </w:r>
    </w:p>
    <w:p>
      <w:pPr>
        <w:spacing w:line="460" w:lineRule="exact"/>
        <w:jc w:val="center"/>
        <w:rPr>
          <w:rStyle w:val="27"/>
          <w:rFonts w:ascii="宋体" w:hAnsi="宋体"/>
          <w:b/>
          <w:bCs/>
          <w:color w:val="auto"/>
          <w:sz w:val="28"/>
          <w:szCs w:val="28"/>
          <w:highlight w:val="none"/>
        </w:rPr>
      </w:pPr>
      <w:r>
        <w:rPr>
          <w:rStyle w:val="27"/>
          <w:rFonts w:ascii="宋体" w:hAnsi="宋体"/>
          <w:b/>
          <w:bCs/>
          <w:color w:val="auto"/>
          <w:sz w:val="28"/>
          <w:szCs w:val="28"/>
          <w:highlight w:val="none"/>
        </w:rPr>
        <w:t>质量保证服务计划、售后服务措施及承诺表</w:t>
      </w:r>
    </w:p>
    <w:tbl>
      <w:tblPr>
        <w:tblStyle w:val="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1"/>
        <w:gridCol w:w="88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5" w:hRule="atLeast"/>
        </w:trPr>
        <w:tc>
          <w:tcPr>
            <w:tcW w:w="991" w:type="dxa"/>
            <w:tcBorders>
              <w:top w:val="single" w:color="000000" w:sz="4" w:space="0"/>
              <w:left w:val="single" w:color="000000" w:sz="4" w:space="0"/>
              <w:bottom w:val="single" w:color="000000" w:sz="4" w:space="0"/>
              <w:right w:val="single" w:color="000000" w:sz="4" w:space="0"/>
            </w:tcBorders>
            <w:vAlign w:val="center"/>
          </w:tcPr>
          <w:p>
            <w:pPr>
              <w:jc w:val="center"/>
              <w:rPr>
                <w:rStyle w:val="27"/>
                <w:rFonts w:ascii="宋体" w:hAnsi="宋体"/>
                <w:color w:val="auto"/>
                <w:sz w:val="24"/>
                <w:highlight w:val="none"/>
              </w:rPr>
            </w:pPr>
            <w:r>
              <w:rPr>
                <w:rStyle w:val="27"/>
                <w:rFonts w:ascii="宋体" w:hAnsi="宋体"/>
                <w:color w:val="auto"/>
                <w:sz w:val="24"/>
                <w:highlight w:val="none"/>
              </w:rPr>
              <w:t>质</w:t>
            </w:r>
          </w:p>
          <w:p>
            <w:pPr>
              <w:jc w:val="center"/>
              <w:rPr>
                <w:rStyle w:val="27"/>
                <w:rFonts w:ascii="宋体" w:hAnsi="宋体"/>
                <w:color w:val="auto"/>
                <w:sz w:val="24"/>
                <w:highlight w:val="none"/>
              </w:rPr>
            </w:pPr>
            <w:r>
              <w:rPr>
                <w:rStyle w:val="27"/>
                <w:rFonts w:ascii="宋体" w:hAnsi="宋体"/>
                <w:color w:val="auto"/>
                <w:sz w:val="24"/>
                <w:highlight w:val="none"/>
              </w:rPr>
              <w:t>量</w:t>
            </w:r>
          </w:p>
          <w:p>
            <w:pPr>
              <w:jc w:val="center"/>
              <w:rPr>
                <w:rStyle w:val="27"/>
                <w:rFonts w:ascii="宋体" w:hAnsi="宋体"/>
                <w:color w:val="auto"/>
                <w:sz w:val="24"/>
                <w:highlight w:val="none"/>
              </w:rPr>
            </w:pPr>
            <w:r>
              <w:rPr>
                <w:rStyle w:val="27"/>
                <w:rFonts w:ascii="宋体" w:hAnsi="宋体"/>
                <w:color w:val="auto"/>
                <w:sz w:val="24"/>
                <w:highlight w:val="none"/>
              </w:rPr>
              <w:t>保</w:t>
            </w:r>
          </w:p>
          <w:p>
            <w:pPr>
              <w:jc w:val="center"/>
              <w:rPr>
                <w:rStyle w:val="27"/>
                <w:rFonts w:ascii="宋体" w:hAnsi="宋体"/>
                <w:color w:val="auto"/>
                <w:sz w:val="24"/>
                <w:highlight w:val="none"/>
              </w:rPr>
            </w:pPr>
            <w:r>
              <w:rPr>
                <w:rStyle w:val="27"/>
                <w:rFonts w:ascii="宋体" w:hAnsi="宋体"/>
                <w:color w:val="auto"/>
                <w:sz w:val="24"/>
                <w:highlight w:val="none"/>
              </w:rPr>
              <w:t>证</w:t>
            </w:r>
          </w:p>
          <w:p>
            <w:pPr>
              <w:jc w:val="center"/>
              <w:rPr>
                <w:rStyle w:val="27"/>
                <w:rFonts w:ascii="宋体" w:hAnsi="宋体"/>
                <w:color w:val="auto"/>
                <w:sz w:val="24"/>
                <w:highlight w:val="none"/>
              </w:rPr>
            </w:pPr>
            <w:r>
              <w:rPr>
                <w:rStyle w:val="27"/>
                <w:rFonts w:ascii="宋体" w:hAnsi="宋体"/>
                <w:color w:val="auto"/>
                <w:sz w:val="24"/>
                <w:highlight w:val="none"/>
              </w:rPr>
              <w:t>承</w:t>
            </w:r>
          </w:p>
          <w:p>
            <w:pPr>
              <w:jc w:val="center"/>
              <w:rPr>
                <w:rStyle w:val="27"/>
                <w:rFonts w:ascii="宋体" w:hAnsi="宋体"/>
                <w:color w:val="auto"/>
                <w:sz w:val="24"/>
                <w:highlight w:val="none"/>
              </w:rPr>
            </w:pPr>
            <w:r>
              <w:rPr>
                <w:rStyle w:val="27"/>
                <w:rFonts w:ascii="宋体" w:hAnsi="宋体"/>
                <w:color w:val="auto"/>
                <w:sz w:val="24"/>
                <w:highlight w:val="none"/>
              </w:rPr>
              <w:t>诺</w:t>
            </w:r>
          </w:p>
        </w:tc>
        <w:tc>
          <w:tcPr>
            <w:tcW w:w="8863" w:type="dxa"/>
            <w:tcBorders>
              <w:top w:val="single" w:color="000000" w:sz="4" w:space="0"/>
              <w:left w:val="single" w:color="000000" w:sz="4" w:space="0"/>
              <w:bottom w:val="single" w:color="000000" w:sz="4" w:space="0"/>
              <w:right w:val="single" w:color="000000" w:sz="4" w:space="0"/>
            </w:tcBorders>
            <w:vAlign w:val="center"/>
          </w:tcPr>
          <w:p>
            <w:pPr>
              <w:pStyle w:val="30"/>
              <w:spacing w:after="0"/>
              <w:rPr>
                <w:rStyle w:val="27"/>
                <w:rFonts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9" w:hRule="atLeast"/>
        </w:trPr>
        <w:tc>
          <w:tcPr>
            <w:tcW w:w="991" w:type="dxa"/>
            <w:tcBorders>
              <w:top w:val="single" w:color="000000" w:sz="4" w:space="0"/>
              <w:left w:val="single" w:color="000000" w:sz="4" w:space="0"/>
              <w:bottom w:val="single" w:color="000000" w:sz="4" w:space="0"/>
              <w:right w:val="single" w:color="000000" w:sz="4" w:space="0"/>
            </w:tcBorders>
            <w:vAlign w:val="center"/>
          </w:tcPr>
          <w:p>
            <w:pPr>
              <w:jc w:val="center"/>
              <w:rPr>
                <w:rStyle w:val="27"/>
                <w:rFonts w:ascii="宋体" w:hAnsi="宋体"/>
                <w:color w:val="auto"/>
                <w:sz w:val="24"/>
                <w:highlight w:val="none"/>
              </w:rPr>
            </w:pPr>
            <w:r>
              <w:rPr>
                <w:rStyle w:val="27"/>
                <w:rFonts w:ascii="宋体" w:hAnsi="宋体"/>
                <w:color w:val="auto"/>
                <w:sz w:val="24"/>
                <w:highlight w:val="none"/>
              </w:rPr>
              <w:t>售</w:t>
            </w:r>
          </w:p>
          <w:p>
            <w:pPr>
              <w:jc w:val="center"/>
              <w:rPr>
                <w:rStyle w:val="27"/>
                <w:rFonts w:ascii="宋体" w:hAnsi="宋体"/>
                <w:color w:val="auto"/>
                <w:sz w:val="24"/>
                <w:highlight w:val="none"/>
              </w:rPr>
            </w:pPr>
            <w:r>
              <w:rPr>
                <w:rStyle w:val="27"/>
                <w:rFonts w:ascii="宋体" w:hAnsi="宋体"/>
                <w:color w:val="auto"/>
                <w:sz w:val="24"/>
                <w:highlight w:val="none"/>
              </w:rPr>
              <w:t>后</w:t>
            </w:r>
          </w:p>
          <w:p>
            <w:pPr>
              <w:jc w:val="center"/>
              <w:rPr>
                <w:rStyle w:val="27"/>
                <w:rFonts w:ascii="宋体" w:hAnsi="宋体"/>
                <w:color w:val="auto"/>
                <w:sz w:val="24"/>
                <w:highlight w:val="none"/>
              </w:rPr>
            </w:pPr>
            <w:r>
              <w:rPr>
                <w:rStyle w:val="27"/>
                <w:rFonts w:ascii="宋体" w:hAnsi="宋体"/>
                <w:color w:val="auto"/>
                <w:sz w:val="24"/>
                <w:highlight w:val="none"/>
              </w:rPr>
              <w:t>服</w:t>
            </w:r>
          </w:p>
          <w:p>
            <w:pPr>
              <w:jc w:val="center"/>
              <w:rPr>
                <w:rStyle w:val="27"/>
                <w:rFonts w:ascii="宋体" w:hAnsi="宋体"/>
                <w:color w:val="auto"/>
                <w:sz w:val="24"/>
                <w:highlight w:val="none"/>
              </w:rPr>
            </w:pPr>
            <w:r>
              <w:rPr>
                <w:rStyle w:val="27"/>
                <w:rFonts w:ascii="宋体" w:hAnsi="宋体"/>
                <w:color w:val="auto"/>
                <w:sz w:val="24"/>
                <w:highlight w:val="none"/>
              </w:rPr>
              <w:t>务</w:t>
            </w:r>
          </w:p>
          <w:p>
            <w:pPr>
              <w:jc w:val="center"/>
              <w:rPr>
                <w:rStyle w:val="27"/>
                <w:rFonts w:ascii="宋体" w:hAnsi="宋体"/>
                <w:color w:val="auto"/>
                <w:sz w:val="24"/>
                <w:highlight w:val="none"/>
              </w:rPr>
            </w:pPr>
            <w:r>
              <w:rPr>
                <w:rStyle w:val="27"/>
                <w:rFonts w:ascii="宋体" w:hAnsi="宋体"/>
                <w:color w:val="auto"/>
                <w:sz w:val="24"/>
                <w:highlight w:val="none"/>
              </w:rPr>
              <w:t>计</w:t>
            </w:r>
          </w:p>
          <w:p>
            <w:pPr>
              <w:jc w:val="center"/>
              <w:rPr>
                <w:rStyle w:val="27"/>
                <w:rFonts w:ascii="宋体" w:hAnsi="宋体"/>
                <w:color w:val="auto"/>
                <w:sz w:val="24"/>
                <w:highlight w:val="none"/>
              </w:rPr>
            </w:pPr>
            <w:r>
              <w:rPr>
                <w:rStyle w:val="27"/>
                <w:rFonts w:ascii="宋体" w:hAnsi="宋体"/>
                <w:color w:val="auto"/>
                <w:sz w:val="24"/>
                <w:highlight w:val="none"/>
              </w:rPr>
              <w:t>划</w:t>
            </w:r>
          </w:p>
          <w:p>
            <w:pPr>
              <w:jc w:val="center"/>
              <w:rPr>
                <w:rStyle w:val="27"/>
                <w:rFonts w:ascii="宋体" w:hAnsi="宋体"/>
                <w:color w:val="auto"/>
                <w:sz w:val="24"/>
                <w:highlight w:val="none"/>
              </w:rPr>
            </w:pPr>
            <w:r>
              <w:rPr>
                <w:rStyle w:val="27"/>
                <w:rFonts w:ascii="宋体" w:hAnsi="宋体"/>
                <w:color w:val="auto"/>
                <w:sz w:val="24"/>
                <w:highlight w:val="none"/>
              </w:rPr>
              <w:t>承</w:t>
            </w:r>
          </w:p>
          <w:p>
            <w:pPr>
              <w:jc w:val="center"/>
              <w:rPr>
                <w:rStyle w:val="27"/>
                <w:rFonts w:ascii="宋体" w:hAnsi="宋体"/>
                <w:color w:val="auto"/>
                <w:sz w:val="24"/>
                <w:highlight w:val="none"/>
              </w:rPr>
            </w:pPr>
            <w:r>
              <w:rPr>
                <w:rStyle w:val="27"/>
                <w:rFonts w:ascii="宋体" w:hAnsi="宋体"/>
                <w:color w:val="auto"/>
                <w:sz w:val="24"/>
                <w:highlight w:val="none"/>
              </w:rPr>
              <w:t>诺</w:t>
            </w:r>
          </w:p>
        </w:tc>
        <w:tc>
          <w:tcPr>
            <w:tcW w:w="8863" w:type="dxa"/>
            <w:tcBorders>
              <w:top w:val="single" w:color="000000" w:sz="4" w:space="0"/>
              <w:left w:val="single" w:color="000000" w:sz="4" w:space="0"/>
              <w:bottom w:val="single" w:color="000000" w:sz="4" w:space="0"/>
              <w:right w:val="single" w:color="000000" w:sz="4" w:space="0"/>
            </w:tcBorders>
            <w:vAlign w:val="center"/>
          </w:tcPr>
          <w:p>
            <w:pPr>
              <w:pStyle w:val="30"/>
              <w:spacing w:after="0"/>
              <w:rPr>
                <w:rStyle w:val="27"/>
                <w:rFonts w:ascii="宋体"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2" w:hRule="atLeast"/>
        </w:trPr>
        <w:tc>
          <w:tcPr>
            <w:tcW w:w="991" w:type="dxa"/>
            <w:tcBorders>
              <w:top w:val="single" w:color="000000" w:sz="4" w:space="0"/>
              <w:left w:val="single" w:color="000000" w:sz="4" w:space="0"/>
              <w:bottom w:val="single" w:color="000000" w:sz="4" w:space="0"/>
              <w:right w:val="single" w:color="000000" w:sz="4" w:space="0"/>
            </w:tcBorders>
            <w:vAlign w:val="center"/>
          </w:tcPr>
          <w:p>
            <w:pPr>
              <w:jc w:val="center"/>
              <w:rPr>
                <w:rStyle w:val="27"/>
                <w:rFonts w:ascii="宋体" w:hAnsi="宋体"/>
                <w:color w:val="auto"/>
                <w:sz w:val="24"/>
                <w:highlight w:val="none"/>
              </w:rPr>
            </w:pPr>
            <w:r>
              <w:rPr>
                <w:rStyle w:val="27"/>
                <w:rFonts w:ascii="宋体" w:hAnsi="宋体"/>
                <w:color w:val="auto"/>
                <w:sz w:val="24"/>
                <w:highlight w:val="none"/>
              </w:rPr>
              <w:t>其</w:t>
            </w:r>
          </w:p>
          <w:p>
            <w:pPr>
              <w:jc w:val="center"/>
              <w:rPr>
                <w:rStyle w:val="27"/>
                <w:rFonts w:ascii="宋体" w:hAnsi="宋体"/>
                <w:color w:val="auto"/>
                <w:sz w:val="24"/>
                <w:highlight w:val="none"/>
              </w:rPr>
            </w:pPr>
            <w:r>
              <w:rPr>
                <w:rStyle w:val="27"/>
                <w:rFonts w:ascii="宋体" w:hAnsi="宋体"/>
                <w:color w:val="auto"/>
                <w:sz w:val="24"/>
                <w:highlight w:val="none"/>
              </w:rPr>
              <w:t>他</w:t>
            </w:r>
          </w:p>
        </w:tc>
        <w:tc>
          <w:tcPr>
            <w:tcW w:w="8863" w:type="dxa"/>
            <w:tcBorders>
              <w:top w:val="single" w:color="000000" w:sz="4" w:space="0"/>
              <w:left w:val="single" w:color="000000" w:sz="4" w:space="0"/>
              <w:bottom w:val="single" w:color="000000" w:sz="4" w:space="0"/>
              <w:right w:val="single" w:color="000000" w:sz="4" w:space="0"/>
            </w:tcBorders>
            <w:vAlign w:val="center"/>
          </w:tcPr>
          <w:p>
            <w:pPr>
              <w:pStyle w:val="30"/>
              <w:spacing w:after="0"/>
              <w:rPr>
                <w:rStyle w:val="27"/>
                <w:rFonts w:ascii="宋体" w:hAnsi="宋体"/>
                <w:color w:val="auto"/>
                <w:sz w:val="24"/>
                <w:highlight w:val="none"/>
              </w:rPr>
            </w:pPr>
            <w:r>
              <w:rPr>
                <w:rStyle w:val="27"/>
                <w:rFonts w:ascii="宋体" w:hAnsi="宋体"/>
                <w:color w:val="auto"/>
                <w:sz w:val="22"/>
                <w:szCs w:val="22"/>
                <w:highlight w:val="none"/>
              </w:rPr>
              <w:t>（惩罚保证、优惠条件、额外服务等等）</w:t>
            </w:r>
          </w:p>
        </w:tc>
      </w:tr>
    </w:tbl>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投标人全称（盖章）：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法定代表人或授权代表（签字或盖章）：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pPr>
        <w:tabs>
          <w:tab w:val="left" w:pos="840"/>
        </w:tabs>
        <w:adjustRightInd w:val="0"/>
        <w:snapToGrid w:val="0"/>
        <w:spacing w:line="360" w:lineRule="auto"/>
        <w:ind w:left="420" w:leftChars="200" w:firstLine="330" w:firstLineChars="150"/>
        <w:rPr>
          <w:rFonts w:ascii="新宋体" w:hAnsi="新宋体" w:eastAsia="新宋体"/>
          <w:color w:val="auto"/>
          <w:sz w:val="22"/>
          <w:szCs w:val="22"/>
          <w:highlight w:val="none"/>
        </w:rPr>
      </w:pPr>
    </w:p>
    <w:p>
      <w:pPr>
        <w:tabs>
          <w:tab w:val="left" w:pos="840"/>
        </w:tabs>
        <w:adjustRightInd w:val="0"/>
        <w:snapToGrid w:val="0"/>
        <w:spacing w:line="360" w:lineRule="auto"/>
        <w:ind w:left="420" w:leftChars="200" w:firstLine="330" w:firstLineChars="150"/>
        <w:rPr>
          <w:rFonts w:ascii="新宋体" w:hAnsi="新宋体" w:eastAsia="新宋体"/>
          <w:color w:val="auto"/>
          <w:sz w:val="22"/>
          <w:szCs w:val="22"/>
          <w:highlight w:val="none"/>
        </w:rPr>
      </w:pPr>
    </w:p>
    <w:p>
      <w:pPr>
        <w:tabs>
          <w:tab w:val="left" w:pos="840"/>
        </w:tabs>
        <w:adjustRightInd w:val="0"/>
        <w:snapToGrid w:val="0"/>
        <w:spacing w:line="360" w:lineRule="auto"/>
        <w:rPr>
          <w:rFonts w:ascii="新宋体" w:hAnsi="新宋体" w:eastAsia="新宋体" w:cs="ˎ̥"/>
          <w:b/>
          <w:bCs/>
          <w:color w:val="auto"/>
          <w:sz w:val="22"/>
          <w:szCs w:val="22"/>
          <w:highlight w:val="none"/>
        </w:rPr>
      </w:pPr>
      <w:r>
        <w:rPr>
          <w:rFonts w:hint="eastAsia" w:ascii="新宋体" w:hAnsi="新宋体" w:eastAsia="新宋体"/>
          <w:color w:val="auto"/>
          <w:sz w:val="22"/>
          <w:szCs w:val="22"/>
          <w:highlight w:val="none"/>
        </w:rPr>
        <w:br w:type="page"/>
      </w:r>
      <w:r>
        <w:rPr>
          <w:rFonts w:hint="eastAsia" w:ascii="新宋体" w:hAnsi="新宋体" w:eastAsia="新宋体" w:cs="ˎ̥"/>
          <w:b/>
          <w:bCs/>
          <w:color w:val="auto"/>
          <w:sz w:val="22"/>
          <w:szCs w:val="22"/>
          <w:highlight w:val="none"/>
        </w:rPr>
        <w:t>附件四</w:t>
      </w:r>
    </w:p>
    <w:p>
      <w:pPr>
        <w:tabs>
          <w:tab w:val="left" w:pos="780"/>
        </w:tabs>
        <w:spacing w:line="400" w:lineRule="exact"/>
        <w:jc w:val="center"/>
        <w:rPr>
          <w:rFonts w:ascii="新宋体" w:hAnsi="新宋体" w:eastAsia="新宋体"/>
          <w:b/>
          <w:color w:val="auto"/>
          <w:sz w:val="22"/>
          <w:szCs w:val="22"/>
          <w:highlight w:val="none"/>
        </w:rPr>
      </w:pPr>
      <w:r>
        <w:rPr>
          <w:rFonts w:hint="eastAsia" w:ascii="新宋体" w:hAnsi="新宋体" w:eastAsia="新宋体"/>
          <w:b/>
          <w:color w:val="auto"/>
          <w:sz w:val="22"/>
          <w:szCs w:val="22"/>
          <w:highlight w:val="none"/>
        </w:rPr>
        <w:t>供应商同类产品销售案例情况</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34"/>
        <w:gridCol w:w="1538"/>
        <w:gridCol w:w="1583"/>
        <w:gridCol w:w="2036"/>
        <w:gridCol w:w="1471"/>
        <w:gridCol w:w="1007"/>
        <w:gridCol w:w="1351"/>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88" w:hRule="atLeast"/>
          <w:jc w:val="center"/>
        </w:trPr>
        <w:tc>
          <w:tcPr>
            <w:tcW w:w="834" w:type="dxa"/>
            <w:vAlign w:val="center"/>
          </w:tcPr>
          <w:p>
            <w:pPr>
              <w:spacing w:line="380" w:lineRule="exact"/>
              <w:jc w:val="center"/>
              <w:rPr>
                <w:rFonts w:ascii="新宋体" w:hAnsi="新宋体" w:eastAsia="新宋体"/>
                <w:b/>
                <w:color w:val="auto"/>
                <w:sz w:val="22"/>
                <w:szCs w:val="22"/>
                <w:highlight w:val="none"/>
              </w:rPr>
            </w:pPr>
            <w:r>
              <w:rPr>
                <w:rFonts w:hint="eastAsia" w:ascii="新宋体" w:hAnsi="新宋体" w:eastAsia="新宋体"/>
                <w:b/>
                <w:color w:val="auto"/>
                <w:sz w:val="22"/>
                <w:szCs w:val="22"/>
                <w:highlight w:val="none"/>
              </w:rPr>
              <w:t>序号</w:t>
            </w:r>
          </w:p>
        </w:tc>
        <w:tc>
          <w:tcPr>
            <w:tcW w:w="1538" w:type="dxa"/>
            <w:vAlign w:val="center"/>
          </w:tcPr>
          <w:p>
            <w:pPr>
              <w:spacing w:line="380" w:lineRule="exact"/>
              <w:jc w:val="center"/>
              <w:rPr>
                <w:rFonts w:ascii="新宋体" w:hAnsi="新宋体" w:eastAsia="新宋体"/>
                <w:b/>
                <w:color w:val="auto"/>
                <w:sz w:val="22"/>
                <w:szCs w:val="22"/>
                <w:highlight w:val="none"/>
              </w:rPr>
            </w:pPr>
            <w:r>
              <w:rPr>
                <w:rFonts w:hint="eastAsia" w:ascii="新宋体" w:hAnsi="新宋体" w:eastAsia="新宋体"/>
                <w:b/>
                <w:color w:val="auto"/>
                <w:sz w:val="22"/>
                <w:szCs w:val="22"/>
                <w:highlight w:val="none"/>
              </w:rPr>
              <w:t>项目名称</w:t>
            </w:r>
          </w:p>
        </w:tc>
        <w:tc>
          <w:tcPr>
            <w:tcW w:w="1583" w:type="dxa"/>
            <w:vAlign w:val="center"/>
          </w:tcPr>
          <w:p>
            <w:pPr>
              <w:spacing w:line="380" w:lineRule="exact"/>
              <w:jc w:val="center"/>
              <w:rPr>
                <w:rFonts w:ascii="新宋体" w:hAnsi="新宋体" w:eastAsia="新宋体"/>
                <w:b/>
                <w:color w:val="auto"/>
                <w:sz w:val="22"/>
                <w:szCs w:val="22"/>
                <w:highlight w:val="none"/>
              </w:rPr>
            </w:pPr>
            <w:r>
              <w:rPr>
                <w:rFonts w:hint="eastAsia" w:ascii="新宋体" w:hAnsi="新宋体" w:eastAsia="新宋体"/>
                <w:b/>
                <w:color w:val="auto"/>
                <w:sz w:val="22"/>
                <w:szCs w:val="22"/>
                <w:highlight w:val="none"/>
              </w:rPr>
              <w:t>项目单位</w:t>
            </w:r>
          </w:p>
        </w:tc>
        <w:tc>
          <w:tcPr>
            <w:tcW w:w="2036" w:type="dxa"/>
            <w:vAlign w:val="center"/>
          </w:tcPr>
          <w:p>
            <w:pPr>
              <w:spacing w:line="380" w:lineRule="exact"/>
              <w:jc w:val="center"/>
              <w:rPr>
                <w:rFonts w:ascii="新宋体" w:hAnsi="新宋体" w:eastAsia="新宋体"/>
                <w:b/>
                <w:color w:val="auto"/>
                <w:sz w:val="22"/>
                <w:szCs w:val="22"/>
                <w:highlight w:val="none"/>
              </w:rPr>
            </w:pPr>
            <w:r>
              <w:rPr>
                <w:rFonts w:hint="eastAsia" w:ascii="新宋体" w:hAnsi="新宋体" w:eastAsia="新宋体"/>
                <w:b/>
                <w:color w:val="auto"/>
                <w:sz w:val="22"/>
                <w:szCs w:val="22"/>
                <w:highlight w:val="none"/>
              </w:rPr>
              <w:t>项目金额</w:t>
            </w:r>
          </w:p>
        </w:tc>
        <w:tc>
          <w:tcPr>
            <w:tcW w:w="1471" w:type="dxa"/>
            <w:vAlign w:val="center"/>
          </w:tcPr>
          <w:p>
            <w:pPr>
              <w:spacing w:line="380" w:lineRule="exact"/>
              <w:jc w:val="center"/>
              <w:rPr>
                <w:rFonts w:ascii="新宋体" w:hAnsi="新宋体" w:eastAsia="新宋体"/>
                <w:b/>
                <w:color w:val="auto"/>
                <w:sz w:val="22"/>
                <w:szCs w:val="22"/>
                <w:highlight w:val="none"/>
              </w:rPr>
            </w:pPr>
            <w:r>
              <w:rPr>
                <w:rFonts w:hint="eastAsia" w:ascii="新宋体" w:hAnsi="新宋体" w:eastAsia="新宋体"/>
                <w:b/>
                <w:color w:val="auto"/>
                <w:sz w:val="22"/>
                <w:szCs w:val="22"/>
                <w:highlight w:val="none"/>
              </w:rPr>
              <w:t>合同日期</w:t>
            </w:r>
          </w:p>
        </w:tc>
        <w:tc>
          <w:tcPr>
            <w:tcW w:w="1007" w:type="dxa"/>
            <w:vAlign w:val="center"/>
          </w:tcPr>
          <w:p>
            <w:pPr>
              <w:spacing w:line="380" w:lineRule="exact"/>
              <w:jc w:val="center"/>
              <w:rPr>
                <w:rFonts w:ascii="新宋体" w:hAnsi="新宋体" w:eastAsia="新宋体"/>
                <w:b/>
                <w:color w:val="auto"/>
                <w:sz w:val="22"/>
                <w:szCs w:val="22"/>
                <w:highlight w:val="none"/>
              </w:rPr>
            </w:pPr>
            <w:r>
              <w:rPr>
                <w:rFonts w:hint="eastAsia" w:ascii="新宋体" w:hAnsi="新宋体" w:eastAsia="新宋体"/>
                <w:b/>
                <w:color w:val="auto"/>
                <w:sz w:val="22"/>
                <w:szCs w:val="22"/>
                <w:highlight w:val="none"/>
              </w:rPr>
              <w:t>联系人</w:t>
            </w:r>
          </w:p>
        </w:tc>
        <w:tc>
          <w:tcPr>
            <w:tcW w:w="1351" w:type="dxa"/>
            <w:vAlign w:val="center"/>
          </w:tcPr>
          <w:p>
            <w:pPr>
              <w:spacing w:line="380" w:lineRule="exact"/>
              <w:jc w:val="center"/>
              <w:rPr>
                <w:rFonts w:ascii="新宋体" w:hAnsi="新宋体" w:eastAsia="新宋体"/>
                <w:b/>
                <w:color w:val="auto"/>
                <w:sz w:val="22"/>
                <w:szCs w:val="22"/>
                <w:highlight w:val="none"/>
              </w:rPr>
            </w:pPr>
            <w:r>
              <w:rPr>
                <w:rFonts w:hint="eastAsia" w:ascii="新宋体" w:hAnsi="新宋体" w:eastAsia="新宋体"/>
                <w:b/>
                <w:color w:val="auto"/>
                <w:sz w:val="22"/>
                <w:szCs w:val="22"/>
                <w:highlight w:val="none"/>
              </w:rPr>
              <w:t>联系方式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jc w:val="center"/>
        </w:trPr>
        <w:tc>
          <w:tcPr>
            <w:tcW w:w="834" w:type="dxa"/>
          </w:tcPr>
          <w:p>
            <w:pPr>
              <w:spacing w:after="120" w:line="360" w:lineRule="atLeast"/>
              <w:jc w:val="center"/>
              <w:rPr>
                <w:rFonts w:ascii="新宋体" w:hAnsi="新宋体" w:eastAsia="新宋体"/>
                <w:color w:val="auto"/>
                <w:sz w:val="22"/>
                <w:szCs w:val="22"/>
                <w:highlight w:val="none"/>
              </w:rPr>
            </w:pPr>
          </w:p>
        </w:tc>
        <w:tc>
          <w:tcPr>
            <w:tcW w:w="1538" w:type="dxa"/>
          </w:tcPr>
          <w:p>
            <w:pPr>
              <w:spacing w:after="120" w:line="360" w:lineRule="atLeast"/>
              <w:jc w:val="center"/>
              <w:rPr>
                <w:rFonts w:ascii="新宋体" w:hAnsi="新宋体" w:eastAsia="新宋体"/>
                <w:color w:val="auto"/>
                <w:sz w:val="22"/>
                <w:szCs w:val="22"/>
                <w:highlight w:val="none"/>
              </w:rPr>
            </w:pPr>
          </w:p>
        </w:tc>
        <w:tc>
          <w:tcPr>
            <w:tcW w:w="1583" w:type="dxa"/>
          </w:tcPr>
          <w:p>
            <w:pPr>
              <w:spacing w:after="120" w:line="360" w:lineRule="atLeast"/>
              <w:jc w:val="center"/>
              <w:rPr>
                <w:rFonts w:ascii="新宋体" w:hAnsi="新宋体" w:eastAsia="新宋体"/>
                <w:color w:val="auto"/>
                <w:sz w:val="22"/>
                <w:szCs w:val="22"/>
                <w:highlight w:val="none"/>
              </w:rPr>
            </w:pPr>
          </w:p>
        </w:tc>
        <w:tc>
          <w:tcPr>
            <w:tcW w:w="2036" w:type="dxa"/>
          </w:tcPr>
          <w:p>
            <w:pPr>
              <w:spacing w:after="120" w:line="360" w:lineRule="atLeast"/>
              <w:jc w:val="center"/>
              <w:rPr>
                <w:rFonts w:ascii="新宋体" w:hAnsi="新宋体" w:eastAsia="新宋体"/>
                <w:color w:val="auto"/>
                <w:sz w:val="22"/>
                <w:szCs w:val="22"/>
                <w:highlight w:val="none"/>
              </w:rPr>
            </w:pPr>
          </w:p>
        </w:tc>
        <w:tc>
          <w:tcPr>
            <w:tcW w:w="1471" w:type="dxa"/>
          </w:tcPr>
          <w:p>
            <w:pPr>
              <w:spacing w:after="120" w:line="360" w:lineRule="atLeast"/>
              <w:jc w:val="center"/>
              <w:rPr>
                <w:rFonts w:ascii="新宋体" w:hAnsi="新宋体" w:eastAsia="新宋体"/>
                <w:color w:val="auto"/>
                <w:sz w:val="22"/>
                <w:szCs w:val="22"/>
                <w:highlight w:val="none"/>
              </w:rPr>
            </w:pPr>
          </w:p>
        </w:tc>
        <w:tc>
          <w:tcPr>
            <w:tcW w:w="1007" w:type="dxa"/>
          </w:tcPr>
          <w:p>
            <w:pPr>
              <w:spacing w:after="120" w:line="360" w:lineRule="atLeast"/>
              <w:jc w:val="center"/>
              <w:rPr>
                <w:rFonts w:ascii="新宋体" w:hAnsi="新宋体" w:eastAsia="新宋体"/>
                <w:color w:val="auto"/>
                <w:sz w:val="22"/>
                <w:szCs w:val="22"/>
                <w:highlight w:val="none"/>
              </w:rPr>
            </w:pPr>
          </w:p>
        </w:tc>
        <w:tc>
          <w:tcPr>
            <w:tcW w:w="1351" w:type="dxa"/>
          </w:tcPr>
          <w:p>
            <w:pPr>
              <w:spacing w:after="120" w:line="360" w:lineRule="atLeast"/>
              <w:jc w:val="center"/>
              <w:rPr>
                <w:rFonts w:ascii="新宋体" w:hAnsi="新宋体" w:eastAsia="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jc w:val="center"/>
        </w:trPr>
        <w:tc>
          <w:tcPr>
            <w:tcW w:w="834" w:type="dxa"/>
          </w:tcPr>
          <w:p>
            <w:pPr>
              <w:spacing w:after="120" w:line="360" w:lineRule="atLeast"/>
              <w:jc w:val="center"/>
              <w:rPr>
                <w:rFonts w:ascii="新宋体" w:hAnsi="新宋体" w:eastAsia="新宋体"/>
                <w:color w:val="auto"/>
                <w:sz w:val="22"/>
                <w:szCs w:val="22"/>
                <w:highlight w:val="none"/>
              </w:rPr>
            </w:pPr>
          </w:p>
        </w:tc>
        <w:tc>
          <w:tcPr>
            <w:tcW w:w="1538" w:type="dxa"/>
          </w:tcPr>
          <w:p>
            <w:pPr>
              <w:spacing w:after="120" w:line="360" w:lineRule="atLeast"/>
              <w:jc w:val="center"/>
              <w:rPr>
                <w:rFonts w:ascii="新宋体" w:hAnsi="新宋体" w:eastAsia="新宋体"/>
                <w:color w:val="auto"/>
                <w:sz w:val="22"/>
                <w:szCs w:val="22"/>
                <w:highlight w:val="none"/>
              </w:rPr>
            </w:pPr>
          </w:p>
        </w:tc>
        <w:tc>
          <w:tcPr>
            <w:tcW w:w="1583" w:type="dxa"/>
          </w:tcPr>
          <w:p>
            <w:pPr>
              <w:spacing w:after="120" w:line="360" w:lineRule="atLeast"/>
              <w:jc w:val="center"/>
              <w:rPr>
                <w:rFonts w:ascii="新宋体" w:hAnsi="新宋体" w:eastAsia="新宋体"/>
                <w:color w:val="auto"/>
                <w:sz w:val="22"/>
                <w:szCs w:val="22"/>
                <w:highlight w:val="none"/>
              </w:rPr>
            </w:pPr>
          </w:p>
        </w:tc>
        <w:tc>
          <w:tcPr>
            <w:tcW w:w="2036" w:type="dxa"/>
          </w:tcPr>
          <w:p>
            <w:pPr>
              <w:spacing w:after="120" w:line="360" w:lineRule="atLeast"/>
              <w:jc w:val="center"/>
              <w:rPr>
                <w:rFonts w:ascii="新宋体" w:hAnsi="新宋体" w:eastAsia="新宋体"/>
                <w:color w:val="auto"/>
                <w:sz w:val="22"/>
                <w:szCs w:val="22"/>
                <w:highlight w:val="none"/>
              </w:rPr>
            </w:pPr>
          </w:p>
        </w:tc>
        <w:tc>
          <w:tcPr>
            <w:tcW w:w="1471" w:type="dxa"/>
          </w:tcPr>
          <w:p>
            <w:pPr>
              <w:spacing w:after="120" w:line="360" w:lineRule="atLeast"/>
              <w:jc w:val="center"/>
              <w:rPr>
                <w:rFonts w:ascii="新宋体" w:hAnsi="新宋体" w:eastAsia="新宋体"/>
                <w:color w:val="auto"/>
                <w:sz w:val="22"/>
                <w:szCs w:val="22"/>
                <w:highlight w:val="none"/>
              </w:rPr>
            </w:pPr>
          </w:p>
        </w:tc>
        <w:tc>
          <w:tcPr>
            <w:tcW w:w="1007" w:type="dxa"/>
          </w:tcPr>
          <w:p>
            <w:pPr>
              <w:spacing w:after="120" w:line="360" w:lineRule="atLeast"/>
              <w:jc w:val="center"/>
              <w:rPr>
                <w:rFonts w:ascii="新宋体" w:hAnsi="新宋体" w:eastAsia="新宋体"/>
                <w:color w:val="auto"/>
                <w:sz w:val="22"/>
                <w:szCs w:val="22"/>
                <w:highlight w:val="none"/>
              </w:rPr>
            </w:pPr>
          </w:p>
        </w:tc>
        <w:tc>
          <w:tcPr>
            <w:tcW w:w="1351" w:type="dxa"/>
          </w:tcPr>
          <w:p>
            <w:pPr>
              <w:spacing w:after="120" w:line="360" w:lineRule="atLeast"/>
              <w:jc w:val="center"/>
              <w:rPr>
                <w:rFonts w:ascii="新宋体" w:hAnsi="新宋体" w:eastAsia="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jc w:val="center"/>
        </w:trPr>
        <w:tc>
          <w:tcPr>
            <w:tcW w:w="834" w:type="dxa"/>
          </w:tcPr>
          <w:p>
            <w:pPr>
              <w:spacing w:after="120" w:line="360" w:lineRule="atLeast"/>
              <w:jc w:val="center"/>
              <w:rPr>
                <w:rFonts w:ascii="新宋体" w:hAnsi="新宋体" w:eastAsia="新宋体"/>
                <w:color w:val="auto"/>
                <w:sz w:val="22"/>
                <w:szCs w:val="22"/>
                <w:highlight w:val="none"/>
              </w:rPr>
            </w:pPr>
          </w:p>
        </w:tc>
        <w:tc>
          <w:tcPr>
            <w:tcW w:w="1538" w:type="dxa"/>
          </w:tcPr>
          <w:p>
            <w:pPr>
              <w:spacing w:after="120" w:line="360" w:lineRule="atLeast"/>
              <w:jc w:val="center"/>
              <w:rPr>
                <w:rFonts w:ascii="新宋体" w:hAnsi="新宋体" w:eastAsia="新宋体"/>
                <w:color w:val="auto"/>
                <w:sz w:val="22"/>
                <w:szCs w:val="22"/>
                <w:highlight w:val="none"/>
              </w:rPr>
            </w:pPr>
          </w:p>
        </w:tc>
        <w:tc>
          <w:tcPr>
            <w:tcW w:w="1583" w:type="dxa"/>
          </w:tcPr>
          <w:p>
            <w:pPr>
              <w:spacing w:after="120" w:line="360" w:lineRule="atLeast"/>
              <w:jc w:val="center"/>
              <w:rPr>
                <w:rFonts w:ascii="新宋体" w:hAnsi="新宋体" w:eastAsia="新宋体"/>
                <w:color w:val="auto"/>
                <w:sz w:val="22"/>
                <w:szCs w:val="22"/>
                <w:highlight w:val="none"/>
              </w:rPr>
            </w:pPr>
          </w:p>
        </w:tc>
        <w:tc>
          <w:tcPr>
            <w:tcW w:w="2036" w:type="dxa"/>
          </w:tcPr>
          <w:p>
            <w:pPr>
              <w:spacing w:after="120" w:line="360" w:lineRule="atLeast"/>
              <w:jc w:val="center"/>
              <w:rPr>
                <w:rFonts w:ascii="新宋体" w:hAnsi="新宋体" w:eastAsia="新宋体"/>
                <w:color w:val="auto"/>
                <w:sz w:val="22"/>
                <w:szCs w:val="22"/>
                <w:highlight w:val="none"/>
              </w:rPr>
            </w:pPr>
          </w:p>
        </w:tc>
        <w:tc>
          <w:tcPr>
            <w:tcW w:w="1471" w:type="dxa"/>
          </w:tcPr>
          <w:p>
            <w:pPr>
              <w:spacing w:after="120" w:line="360" w:lineRule="atLeast"/>
              <w:jc w:val="center"/>
              <w:rPr>
                <w:rFonts w:ascii="新宋体" w:hAnsi="新宋体" w:eastAsia="新宋体"/>
                <w:color w:val="auto"/>
                <w:sz w:val="22"/>
                <w:szCs w:val="22"/>
                <w:highlight w:val="none"/>
              </w:rPr>
            </w:pPr>
          </w:p>
        </w:tc>
        <w:tc>
          <w:tcPr>
            <w:tcW w:w="1007" w:type="dxa"/>
          </w:tcPr>
          <w:p>
            <w:pPr>
              <w:spacing w:after="120" w:line="360" w:lineRule="atLeast"/>
              <w:jc w:val="center"/>
              <w:rPr>
                <w:rFonts w:ascii="新宋体" w:hAnsi="新宋体" w:eastAsia="新宋体"/>
                <w:color w:val="auto"/>
                <w:sz w:val="22"/>
                <w:szCs w:val="22"/>
                <w:highlight w:val="none"/>
              </w:rPr>
            </w:pPr>
          </w:p>
        </w:tc>
        <w:tc>
          <w:tcPr>
            <w:tcW w:w="1351" w:type="dxa"/>
          </w:tcPr>
          <w:p>
            <w:pPr>
              <w:spacing w:after="120" w:line="360" w:lineRule="atLeast"/>
              <w:jc w:val="center"/>
              <w:rPr>
                <w:rFonts w:ascii="新宋体" w:hAnsi="新宋体" w:eastAsia="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jc w:val="center"/>
        </w:trPr>
        <w:tc>
          <w:tcPr>
            <w:tcW w:w="834" w:type="dxa"/>
          </w:tcPr>
          <w:p>
            <w:pPr>
              <w:spacing w:after="120" w:line="360" w:lineRule="atLeast"/>
              <w:jc w:val="center"/>
              <w:rPr>
                <w:rFonts w:ascii="新宋体" w:hAnsi="新宋体" w:eastAsia="新宋体"/>
                <w:color w:val="auto"/>
                <w:sz w:val="22"/>
                <w:szCs w:val="22"/>
                <w:highlight w:val="none"/>
              </w:rPr>
            </w:pPr>
          </w:p>
        </w:tc>
        <w:tc>
          <w:tcPr>
            <w:tcW w:w="1538" w:type="dxa"/>
          </w:tcPr>
          <w:p>
            <w:pPr>
              <w:spacing w:after="120" w:line="360" w:lineRule="atLeast"/>
              <w:jc w:val="center"/>
              <w:rPr>
                <w:rFonts w:ascii="新宋体" w:hAnsi="新宋体" w:eastAsia="新宋体"/>
                <w:color w:val="auto"/>
                <w:sz w:val="22"/>
                <w:szCs w:val="22"/>
                <w:highlight w:val="none"/>
              </w:rPr>
            </w:pPr>
          </w:p>
        </w:tc>
        <w:tc>
          <w:tcPr>
            <w:tcW w:w="1583" w:type="dxa"/>
          </w:tcPr>
          <w:p>
            <w:pPr>
              <w:spacing w:after="120" w:line="360" w:lineRule="atLeast"/>
              <w:jc w:val="center"/>
              <w:rPr>
                <w:rFonts w:ascii="新宋体" w:hAnsi="新宋体" w:eastAsia="新宋体"/>
                <w:color w:val="auto"/>
                <w:sz w:val="22"/>
                <w:szCs w:val="22"/>
                <w:highlight w:val="none"/>
              </w:rPr>
            </w:pPr>
          </w:p>
        </w:tc>
        <w:tc>
          <w:tcPr>
            <w:tcW w:w="2036" w:type="dxa"/>
          </w:tcPr>
          <w:p>
            <w:pPr>
              <w:spacing w:after="120" w:line="360" w:lineRule="atLeast"/>
              <w:jc w:val="center"/>
              <w:rPr>
                <w:rFonts w:ascii="新宋体" w:hAnsi="新宋体" w:eastAsia="新宋体"/>
                <w:color w:val="auto"/>
                <w:sz w:val="22"/>
                <w:szCs w:val="22"/>
                <w:highlight w:val="none"/>
              </w:rPr>
            </w:pPr>
          </w:p>
        </w:tc>
        <w:tc>
          <w:tcPr>
            <w:tcW w:w="1471" w:type="dxa"/>
          </w:tcPr>
          <w:p>
            <w:pPr>
              <w:spacing w:after="120" w:line="360" w:lineRule="atLeast"/>
              <w:jc w:val="center"/>
              <w:rPr>
                <w:rFonts w:ascii="新宋体" w:hAnsi="新宋体" w:eastAsia="新宋体"/>
                <w:color w:val="auto"/>
                <w:sz w:val="22"/>
                <w:szCs w:val="22"/>
                <w:highlight w:val="none"/>
              </w:rPr>
            </w:pPr>
          </w:p>
        </w:tc>
        <w:tc>
          <w:tcPr>
            <w:tcW w:w="1007" w:type="dxa"/>
          </w:tcPr>
          <w:p>
            <w:pPr>
              <w:spacing w:after="120" w:line="360" w:lineRule="atLeast"/>
              <w:jc w:val="center"/>
              <w:rPr>
                <w:rFonts w:ascii="新宋体" w:hAnsi="新宋体" w:eastAsia="新宋体"/>
                <w:color w:val="auto"/>
                <w:sz w:val="22"/>
                <w:szCs w:val="22"/>
                <w:highlight w:val="none"/>
              </w:rPr>
            </w:pPr>
          </w:p>
        </w:tc>
        <w:tc>
          <w:tcPr>
            <w:tcW w:w="1351" w:type="dxa"/>
          </w:tcPr>
          <w:p>
            <w:pPr>
              <w:spacing w:after="120" w:line="360" w:lineRule="atLeast"/>
              <w:jc w:val="center"/>
              <w:rPr>
                <w:rFonts w:ascii="新宋体" w:hAnsi="新宋体" w:eastAsia="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jc w:val="center"/>
        </w:trPr>
        <w:tc>
          <w:tcPr>
            <w:tcW w:w="834" w:type="dxa"/>
          </w:tcPr>
          <w:p>
            <w:pPr>
              <w:spacing w:after="120" w:line="360" w:lineRule="atLeast"/>
              <w:jc w:val="center"/>
              <w:rPr>
                <w:rFonts w:ascii="新宋体" w:hAnsi="新宋体" w:eastAsia="新宋体"/>
                <w:color w:val="auto"/>
                <w:sz w:val="22"/>
                <w:szCs w:val="22"/>
                <w:highlight w:val="none"/>
              </w:rPr>
            </w:pPr>
          </w:p>
        </w:tc>
        <w:tc>
          <w:tcPr>
            <w:tcW w:w="1538" w:type="dxa"/>
          </w:tcPr>
          <w:p>
            <w:pPr>
              <w:spacing w:after="120" w:line="360" w:lineRule="atLeast"/>
              <w:jc w:val="center"/>
              <w:rPr>
                <w:rFonts w:ascii="新宋体" w:hAnsi="新宋体" w:eastAsia="新宋体"/>
                <w:color w:val="auto"/>
                <w:sz w:val="22"/>
                <w:szCs w:val="22"/>
                <w:highlight w:val="none"/>
              </w:rPr>
            </w:pPr>
          </w:p>
        </w:tc>
        <w:tc>
          <w:tcPr>
            <w:tcW w:w="1583" w:type="dxa"/>
          </w:tcPr>
          <w:p>
            <w:pPr>
              <w:spacing w:after="120" w:line="360" w:lineRule="atLeast"/>
              <w:jc w:val="center"/>
              <w:rPr>
                <w:rFonts w:ascii="新宋体" w:hAnsi="新宋体" w:eastAsia="新宋体"/>
                <w:color w:val="auto"/>
                <w:sz w:val="22"/>
                <w:szCs w:val="22"/>
                <w:highlight w:val="none"/>
              </w:rPr>
            </w:pPr>
          </w:p>
        </w:tc>
        <w:tc>
          <w:tcPr>
            <w:tcW w:w="2036" w:type="dxa"/>
          </w:tcPr>
          <w:p>
            <w:pPr>
              <w:spacing w:after="120" w:line="360" w:lineRule="atLeast"/>
              <w:jc w:val="center"/>
              <w:rPr>
                <w:rFonts w:ascii="新宋体" w:hAnsi="新宋体" w:eastAsia="新宋体"/>
                <w:color w:val="auto"/>
                <w:sz w:val="22"/>
                <w:szCs w:val="22"/>
                <w:highlight w:val="none"/>
              </w:rPr>
            </w:pPr>
          </w:p>
        </w:tc>
        <w:tc>
          <w:tcPr>
            <w:tcW w:w="1471" w:type="dxa"/>
          </w:tcPr>
          <w:p>
            <w:pPr>
              <w:spacing w:after="120" w:line="360" w:lineRule="atLeast"/>
              <w:jc w:val="center"/>
              <w:rPr>
                <w:rFonts w:ascii="新宋体" w:hAnsi="新宋体" w:eastAsia="新宋体"/>
                <w:color w:val="auto"/>
                <w:sz w:val="22"/>
                <w:szCs w:val="22"/>
                <w:highlight w:val="none"/>
              </w:rPr>
            </w:pPr>
          </w:p>
        </w:tc>
        <w:tc>
          <w:tcPr>
            <w:tcW w:w="1007" w:type="dxa"/>
          </w:tcPr>
          <w:p>
            <w:pPr>
              <w:spacing w:after="120" w:line="360" w:lineRule="atLeast"/>
              <w:jc w:val="center"/>
              <w:rPr>
                <w:rFonts w:ascii="新宋体" w:hAnsi="新宋体" w:eastAsia="新宋体"/>
                <w:color w:val="auto"/>
                <w:sz w:val="22"/>
                <w:szCs w:val="22"/>
                <w:highlight w:val="none"/>
              </w:rPr>
            </w:pPr>
          </w:p>
        </w:tc>
        <w:tc>
          <w:tcPr>
            <w:tcW w:w="1351" w:type="dxa"/>
          </w:tcPr>
          <w:p>
            <w:pPr>
              <w:spacing w:after="120" w:line="360" w:lineRule="atLeast"/>
              <w:jc w:val="center"/>
              <w:rPr>
                <w:rFonts w:ascii="新宋体" w:hAnsi="新宋体" w:eastAsia="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jc w:val="center"/>
        </w:trPr>
        <w:tc>
          <w:tcPr>
            <w:tcW w:w="834" w:type="dxa"/>
          </w:tcPr>
          <w:p>
            <w:pPr>
              <w:spacing w:after="120" w:line="360" w:lineRule="atLeast"/>
              <w:jc w:val="center"/>
              <w:rPr>
                <w:rFonts w:ascii="新宋体" w:hAnsi="新宋体" w:eastAsia="新宋体"/>
                <w:color w:val="auto"/>
                <w:sz w:val="22"/>
                <w:szCs w:val="22"/>
                <w:highlight w:val="none"/>
              </w:rPr>
            </w:pPr>
          </w:p>
        </w:tc>
        <w:tc>
          <w:tcPr>
            <w:tcW w:w="1538" w:type="dxa"/>
          </w:tcPr>
          <w:p>
            <w:pPr>
              <w:spacing w:after="120" w:line="360" w:lineRule="atLeast"/>
              <w:jc w:val="center"/>
              <w:rPr>
                <w:rFonts w:ascii="新宋体" w:hAnsi="新宋体" w:eastAsia="新宋体"/>
                <w:color w:val="auto"/>
                <w:sz w:val="22"/>
                <w:szCs w:val="22"/>
                <w:highlight w:val="none"/>
              </w:rPr>
            </w:pPr>
          </w:p>
        </w:tc>
        <w:tc>
          <w:tcPr>
            <w:tcW w:w="1583" w:type="dxa"/>
          </w:tcPr>
          <w:p>
            <w:pPr>
              <w:spacing w:after="120" w:line="360" w:lineRule="atLeast"/>
              <w:jc w:val="center"/>
              <w:rPr>
                <w:rFonts w:ascii="新宋体" w:hAnsi="新宋体" w:eastAsia="新宋体"/>
                <w:color w:val="auto"/>
                <w:sz w:val="22"/>
                <w:szCs w:val="22"/>
                <w:highlight w:val="none"/>
              </w:rPr>
            </w:pPr>
          </w:p>
        </w:tc>
        <w:tc>
          <w:tcPr>
            <w:tcW w:w="2036" w:type="dxa"/>
          </w:tcPr>
          <w:p>
            <w:pPr>
              <w:spacing w:after="120" w:line="360" w:lineRule="atLeast"/>
              <w:jc w:val="center"/>
              <w:rPr>
                <w:rFonts w:ascii="新宋体" w:hAnsi="新宋体" w:eastAsia="新宋体"/>
                <w:color w:val="auto"/>
                <w:sz w:val="22"/>
                <w:szCs w:val="22"/>
                <w:highlight w:val="none"/>
              </w:rPr>
            </w:pPr>
          </w:p>
        </w:tc>
        <w:tc>
          <w:tcPr>
            <w:tcW w:w="1471" w:type="dxa"/>
          </w:tcPr>
          <w:p>
            <w:pPr>
              <w:spacing w:after="120" w:line="360" w:lineRule="atLeast"/>
              <w:jc w:val="center"/>
              <w:rPr>
                <w:rFonts w:ascii="新宋体" w:hAnsi="新宋体" w:eastAsia="新宋体"/>
                <w:color w:val="auto"/>
                <w:sz w:val="22"/>
                <w:szCs w:val="22"/>
                <w:highlight w:val="none"/>
              </w:rPr>
            </w:pPr>
          </w:p>
        </w:tc>
        <w:tc>
          <w:tcPr>
            <w:tcW w:w="1007" w:type="dxa"/>
          </w:tcPr>
          <w:p>
            <w:pPr>
              <w:spacing w:after="120" w:line="360" w:lineRule="atLeast"/>
              <w:jc w:val="center"/>
              <w:rPr>
                <w:rFonts w:ascii="新宋体" w:hAnsi="新宋体" w:eastAsia="新宋体"/>
                <w:color w:val="auto"/>
                <w:sz w:val="22"/>
                <w:szCs w:val="22"/>
                <w:highlight w:val="none"/>
              </w:rPr>
            </w:pPr>
          </w:p>
        </w:tc>
        <w:tc>
          <w:tcPr>
            <w:tcW w:w="1351" w:type="dxa"/>
          </w:tcPr>
          <w:p>
            <w:pPr>
              <w:spacing w:after="120" w:line="360" w:lineRule="atLeast"/>
              <w:jc w:val="center"/>
              <w:rPr>
                <w:rFonts w:ascii="新宋体" w:hAnsi="新宋体" w:eastAsia="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jc w:val="center"/>
        </w:trPr>
        <w:tc>
          <w:tcPr>
            <w:tcW w:w="834" w:type="dxa"/>
          </w:tcPr>
          <w:p>
            <w:pPr>
              <w:spacing w:after="120" w:line="360" w:lineRule="atLeast"/>
              <w:jc w:val="center"/>
              <w:rPr>
                <w:rFonts w:ascii="新宋体" w:hAnsi="新宋体" w:eastAsia="新宋体"/>
                <w:color w:val="auto"/>
                <w:sz w:val="22"/>
                <w:szCs w:val="22"/>
                <w:highlight w:val="none"/>
              </w:rPr>
            </w:pPr>
          </w:p>
        </w:tc>
        <w:tc>
          <w:tcPr>
            <w:tcW w:w="1538" w:type="dxa"/>
          </w:tcPr>
          <w:p>
            <w:pPr>
              <w:spacing w:after="120" w:line="360" w:lineRule="atLeast"/>
              <w:jc w:val="center"/>
              <w:rPr>
                <w:rFonts w:ascii="新宋体" w:hAnsi="新宋体" w:eastAsia="新宋体"/>
                <w:color w:val="auto"/>
                <w:sz w:val="22"/>
                <w:szCs w:val="22"/>
                <w:highlight w:val="none"/>
              </w:rPr>
            </w:pPr>
          </w:p>
        </w:tc>
        <w:tc>
          <w:tcPr>
            <w:tcW w:w="1583" w:type="dxa"/>
          </w:tcPr>
          <w:p>
            <w:pPr>
              <w:spacing w:after="120" w:line="360" w:lineRule="atLeast"/>
              <w:jc w:val="center"/>
              <w:rPr>
                <w:rFonts w:ascii="新宋体" w:hAnsi="新宋体" w:eastAsia="新宋体"/>
                <w:color w:val="auto"/>
                <w:sz w:val="22"/>
                <w:szCs w:val="22"/>
                <w:highlight w:val="none"/>
              </w:rPr>
            </w:pPr>
          </w:p>
        </w:tc>
        <w:tc>
          <w:tcPr>
            <w:tcW w:w="2036" w:type="dxa"/>
          </w:tcPr>
          <w:p>
            <w:pPr>
              <w:spacing w:after="120" w:line="360" w:lineRule="atLeast"/>
              <w:jc w:val="center"/>
              <w:rPr>
                <w:rFonts w:ascii="新宋体" w:hAnsi="新宋体" w:eastAsia="新宋体"/>
                <w:color w:val="auto"/>
                <w:sz w:val="22"/>
                <w:szCs w:val="22"/>
                <w:highlight w:val="none"/>
              </w:rPr>
            </w:pPr>
          </w:p>
        </w:tc>
        <w:tc>
          <w:tcPr>
            <w:tcW w:w="1471" w:type="dxa"/>
          </w:tcPr>
          <w:p>
            <w:pPr>
              <w:spacing w:after="120" w:line="360" w:lineRule="atLeast"/>
              <w:jc w:val="center"/>
              <w:rPr>
                <w:rFonts w:ascii="新宋体" w:hAnsi="新宋体" w:eastAsia="新宋体"/>
                <w:color w:val="auto"/>
                <w:sz w:val="22"/>
                <w:szCs w:val="22"/>
                <w:highlight w:val="none"/>
              </w:rPr>
            </w:pPr>
          </w:p>
        </w:tc>
        <w:tc>
          <w:tcPr>
            <w:tcW w:w="1007" w:type="dxa"/>
          </w:tcPr>
          <w:p>
            <w:pPr>
              <w:spacing w:after="120" w:line="360" w:lineRule="atLeast"/>
              <w:jc w:val="center"/>
              <w:rPr>
                <w:rFonts w:ascii="新宋体" w:hAnsi="新宋体" w:eastAsia="新宋体"/>
                <w:color w:val="auto"/>
                <w:sz w:val="22"/>
                <w:szCs w:val="22"/>
                <w:highlight w:val="none"/>
              </w:rPr>
            </w:pPr>
          </w:p>
        </w:tc>
        <w:tc>
          <w:tcPr>
            <w:tcW w:w="1351" w:type="dxa"/>
          </w:tcPr>
          <w:p>
            <w:pPr>
              <w:spacing w:after="120" w:line="360" w:lineRule="atLeast"/>
              <w:jc w:val="center"/>
              <w:rPr>
                <w:rFonts w:ascii="新宋体" w:hAnsi="新宋体" w:eastAsia="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jc w:val="center"/>
        </w:trPr>
        <w:tc>
          <w:tcPr>
            <w:tcW w:w="834" w:type="dxa"/>
          </w:tcPr>
          <w:p>
            <w:pPr>
              <w:spacing w:after="120" w:line="360" w:lineRule="atLeast"/>
              <w:jc w:val="center"/>
              <w:rPr>
                <w:rFonts w:ascii="新宋体" w:hAnsi="新宋体" w:eastAsia="新宋体"/>
                <w:color w:val="auto"/>
                <w:sz w:val="22"/>
                <w:szCs w:val="22"/>
                <w:highlight w:val="none"/>
              </w:rPr>
            </w:pPr>
          </w:p>
        </w:tc>
        <w:tc>
          <w:tcPr>
            <w:tcW w:w="1538" w:type="dxa"/>
          </w:tcPr>
          <w:p>
            <w:pPr>
              <w:spacing w:after="120" w:line="360" w:lineRule="atLeast"/>
              <w:jc w:val="center"/>
              <w:rPr>
                <w:rFonts w:ascii="新宋体" w:hAnsi="新宋体" w:eastAsia="新宋体"/>
                <w:color w:val="auto"/>
                <w:sz w:val="22"/>
                <w:szCs w:val="22"/>
                <w:highlight w:val="none"/>
              </w:rPr>
            </w:pPr>
          </w:p>
        </w:tc>
        <w:tc>
          <w:tcPr>
            <w:tcW w:w="1583" w:type="dxa"/>
          </w:tcPr>
          <w:p>
            <w:pPr>
              <w:spacing w:after="120" w:line="360" w:lineRule="atLeast"/>
              <w:jc w:val="center"/>
              <w:rPr>
                <w:rFonts w:ascii="新宋体" w:hAnsi="新宋体" w:eastAsia="新宋体"/>
                <w:color w:val="auto"/>
                <w:sz w:val="22"/>
                <w:szCs w:val="22"/>
                <w:highlight w:val="none"/>
              </w:rPr>
            </w:pPr>
          </w:p>
        </w:tc>
        <w:tc>
          <w:tcPr>
            <w:tcW w:w="2036" w:type="dxa"/>
          </w:tcPr>
          <w:p>
            <w:pPr>
              <w:spacing w:after="120" w:line="360" w:lineRule="atLeast"/>
              <w:jc w:val="center"/>
              <w:rPr>
                <w:rFonts w:ascii="新宋体" w:hAnsi="新宋体" w:eastAsia="新宋体"/>
                <w:color w:val="auto"/>
                <w:sz w:val="22"/>
                <w:szCs w:val="22"/>
                <w:highlight w:val="none"/>
              </w:rPr>
            </w:pPr>
          </w:p>
        </w:tc>
        <w:tc>
          <w:tcPr>
            <w:tcW w:w="1471" w:type="dxa"/>
          </w:tcPr>
          <w:p>
            <w:pPr>
              <w:spacing w:after="120" w:line="360" w:lineRule="atLeast"/>
              <w:jc w:val="center"/>
              <w:rPr>
                <w:rFonts w:ascii="新宋体" w:hAnsi="新宋体" w:eastAsia="新宋体"/>
                <w:color w:val="auto"/>
                <w:sz w:val="22"/>
                <w:szCs w:val="22"/>
                <w:highlight w:val="none"/>
              </w:rPr>
            </w:pPr>
          </w:p>
        </w:tc>
        <w:tc>
          <w:tcPr>
            <w:tcW w:w="1007" w:type="dxa"/>
          </w:tcPr>
          <w:p>
            <w:pPr>
              <w:spacing w:after="120" w:line="360" w:lineRule="atLeast"/>
              <w:jc w:val="center"/>
              <w:rPr>
                <w:rFonts w:ascii="新宋体" w:hAnsi="新宋体" w:eastAsia="新宋体"/>
                <w:color w:val="auto"/>
                <w:sz w:val="22"/>
                <w:szCs w:val="22"/>
                <w:highlight w:val="none"/>
              </w:rPr>
            </w:pPr>
          </w:p>
        </w:tc>
        <w:tc>
          <w:tcPr>
            <w:tcW w:w="1351" w:type="dxa"/>
          </w:tcPr>
          <w:p>
            <w:pPr>
              <w:spacing w:after="120" w:line="360" w:lineRule="atLeast"/>
              <w:jc w:val="center"/>
              <w:rPr>
                <w:rFonts w:ascii="新宋体" w:hAnsi="新宋体" w:eastAsia="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jc w:val="center"/>
        </w:trPr>
        <w:tc>
          <w:tcPr>
            <w:tcW w:w="834" w:type="dxa"/>
          </w:tcPr>
          <w:p>
            <w:pPr>
              <w:spacing w:after="120" w:line="360" w:lineRule="atLeast"/>
              <w:jc w:val="center"/>
              <w:rPr>
                <w:rFonts w:ascii="新宋体" w:hAnsi="新宋体" w:eastAsia="新宋体"/>
                <w:color w:val="auto"/>
                <w:sz w:val="22"/>
                <w:szCs w:val="22"/>
                <w:highlight w:val="none"/>
              </w:rPr>
            </w:pPr>
          </w:p>
        </w:tc>
        <w:tc>
          <w:tcPr>
            <w:tcW w:w="1538" w:type="dxa"/>
          </w:tcPr>
          <w:p>
            <w:pPr>
              <w:spacing w:after="120" w:line="360" w:lineRule="atLeast"/>
              <w:jc w:val="center"/>
              <w:rPr>
                <w:rFonts w:ascii="新宋体" w:hAnsi="新宋体" w:eastAsia="新宋体"/>
                <w:color w:val="auto"/>
                <w:sz w:val="22"/>
                <w:szCs w:val="22"/>
                <w:highlight w:val="none"/>
              </w:rPr>
            </w:pPr>
          </w:p>
        </w:tc>
        <w:tc>
          <w:tcPr>
            <w:tcW w:w="1583" w:type="dxa"/>
          </w:tcPr>
          <w:p>
            <w:pPr>
              <w:spacing w:after="120" w:line="360" w:lineRule="atLeast"/>
              <w:jc w:val="center"/>
              <w:rPr>
                <w:rFonts w:ascii="新宋体" w:hAnsi="新宋体" w:eastAsia="新宋体"/>
                <w:color w:val="auto"/>
                <w:sz w:val="22"/>
                <w:szCs w:val="22"/>
                <w:highlight w:val="none"/>
              </w:rPr>
            </w:pPr>
          </w:p>
        </w:tc>
        <w:tc>
          <w:tcPr>
            <w:tcW w:w="2036" w:type="dxa"/>
          </w:tcPr>
          <w:p>
            <w:pPr>
              <w:spacing w:after="120" w:line="360" w:lineRule="atLeast"/>
              <w:jc w:val="center"/>
              <w:rPr>
                <w:rFonts w:ascii="新宋体" w:hAnsi="新宋体" w:eastAsia="新宋体"/>
                <w:color w:val="auto"/>
                <w:sz w:val="22"/>
                <w:szCs w:val="22"/>
                <w:highlight w:val="none"/>
              </w:rPr>
            </w:pPr>
          </w:p>
        </w:tc>
        <w:tc>
          <w:tcPr>
            <w:tcW w:w="1471" w:type="dxa"/>
          </w:tcPr>
          <w:p>
            <w:pPr>
              <w:spacing w:after="120" w:line="360" w:lineRule="atLeast"/>
              <w:jc w:val="center"/>
              <w:rPr>
                <w:rFonts w:ascii="新宋体" w:hAnsi="新宋体" w:eastAsia="新宋体"/>
                <w:color w:val="auto"/>
                <w:sz w:val="22"/>
                <w:szCs w:val="22"/>
                <w:highlight w:val="none"/>
              </w:rPr>
            </w:pPr>
          </w:p>
        </w:tc>
        <w:tc>
          <w:tcPr>
            <w:tcW w:w="1007" w:type="dxa"/>
          </w:tcPr>
          <w:p>
            <w:pPr>
              <w:spacing w:after="120" w:line="360" w:lineRule="atLeast"/>
              <w:jc w:val="center"/>
              <w:rPr>
                <w:rFonts w:ascii="新宋体" w:hAnsi="新宋体" w:eastAsia="新宋体"/>
                <w:color w:val="auto"/>
                <w:sz w:val="22"/>
                <w:szCs w:val="22"/>
                <w:highlight w:val="none"/>
              </w:rPr>
            </w:pPr>
          </w:p>
        </w:tc>
        <w:tc>
          <w:tcPr>
            <w:tcW w:w="1351" w:type="dxa"/>
          </w:tcPr>
          <w:p>
            <w:pPr>
              <w:spacing w:after="120" w:line="360" w:lineRule="atLeast"/>
              <w:jc w:val="center"/>
              <w:rPr>
                <w:rFonts w:ascii="新宋体" w:hAnsi="新宋体" w:eastAsia="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jc w:val="center"/>
        </w:trPr>
        <w:tc>
          <w:tcPr>
            <w:tcW w:w="834" w:type="dxa"/>
          </w:tcPr>
          <w:p>
            <w:pPr>
              <w:spacing w:after="120" w:line="360" w:lineRule="atLeast"/>
              <w:jc w:val="center"/>
              <w:rPr>
                <w:rFonts w:ascii="新宋体" w:hAnsi="新宋体" w:eastAsia="新宋体"/>
                <w:color w:val="auto"/>
                <w:sz w:val="22"/>
                <w:szCs w:val="22"/>
                <w:highlight w:val="none"/>
              </w:rPr>
            </w:pPr>
          </w:p>
        </w:tc>
        <w:tc>
          <w:tcPr>
            <w:tcW w:w="1538" w:type="dxa"/>
          </w:tcPr>
          <w:p>
            <w:pPr>
              <w:spacing w:after="120" w:line="360" w:lineRule="atLeast"/>
              <w:jc w:val="center"/>
              <w:rPr>
                <w:rFonts w:ascii="新宋体" w:hAnsi="新宋体" w:eastAsia="新宋体"/>
                <w:color w:val="auto"/>
                <w:sz w:val="22"/>
                <w:szCs w:val="22"/>
                <w:highlight w:val="none"/>
              </w:rPr>
            </w:pPr>
          </w:p>
        </w:tc>
        <w:tc>
          <w:tcPr>
            <w:tcW w:w="1583" w:type="dxa"/>
          </w:tcPr>
          <w:p>
            <w:pPr>
              <w:spacing w:after="120" w:line="360" w:lineRule="atLeast"/>
              <w:jc w:val="center"/>
              <w:rPr>
                <w:rFonts w:ascii="新宋体" w:hAnsi="新宋体" w:eastAsia="新宋体"/>
                <w:color w:val="auto"/>
                <w:sz w:val="22"/>
                <w:szCs w:val="22"/>
                <w:highlight w:val="none"/>
              </w:rPr>
            </w:pPr>
          </w:p>
        </w:tc>
        <w:tc>
          <w:tcPr>
            <w:tcW w:w="2036" w:type="dxa"/>
          </w:tcPr>
          <w:p>
            <w:pPr>
              <w:spacing w:after="120" w:line="360" w:lineRule="atLeast"/>
              <w:jc w:val="center"/>
              <w:rPr>
                <w:rFonts w:ascii="新宋体" w:hAnsi="新宋体" w:eastAsia="新宋体"/>
                <w:color w:val="auto"/>
                <w:sz w:val="22"/>
                <w:szCs w:val="22"/>
                <w:highlight w:val="none"/>
              </w:rPr>
            </w:pPr>
          </w:p>
        </w:tc>
        <w:tc>
          <w:tcPr>
            <w:tcW w:w="1471" w:type="dxa"/>
          </w:tcPr>
          <w:p>
            <w:pPr>
              <w:spacing w:after="120" w:line="360" w:lineRule="atLeast"/>
              <w:jc w:val="center"/>
              <w:rPr>
                <w:rFonts w:ascii="新宋体" w:hAnsi="新宋体" w:eastAsia="新宋体"/>
                <w:color w:val="auto"/>
                <w:sz w:val="22"/>
                <w:szCs w:val="22"/>
                <w:highlight w:val="none"/>
              </w:rPr>
            </w:pPr>
          </w:p>
        </w:tc>
        <w:tc>
          <w:tcPr>
            <w:tcW w:w="1007" w:type="dxa"/>
          </w:tcPr>
          <w:p>
            <w:pPr>
              <w:spacing w:after="120" w:line="360" w:lineRule="atLeast"/>
              <w:jc w:val="center"/>
              <w:rPr>
                <w:rFonts w:ascii="新宋体" w:hAnsi="新宋体" w:eastAsia="新宋体"/>
                <w:color w:val="auto"/>
                <w:sz w:val="22"/>
                <w:szCs w:val="22"/>
                <w:highlight w:val="none"/>
              </w:rPr>
            </w:pPr>
          </w:p>
        </w:tc>
        <w:tc>
          <w:tcPr>
            <w:tcW w:w="1351" w:type="dxa"/>
          </w:tcPr>
          <w:p>
            <w:pPr>
              <w:spacing w:after="120" w:line="360" w:lineRule="atLeast"/>
              <w:jc w:val="center"/>
              <w:rPr>
                <w:rFonts w:ascii="新宋体" w:hAnsi="新宋体" w:eastAsia="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jc w:val="center"/>
        </w:trPr>
        <w:tc>
          <w:tcPr>
            <w:tcW w:w="834" w:type="dxa"/>
          </w:tcPr>
          <w:p>
            <w:pPr>
              <w:spacing w:after="120" w:line="360" w:lineRule="atLeast"/>
              <w:jc w:val="center"/>
              <w:rPr>
                <w:rFonts w:ascii="新宋体" w:hAnsi="新宋体" w:eastAsia="新宋体"/>
                <w:color w:val="auto"/>
                <w:sz w:val="22"/>
                <w:szCs w:val="22"/>
                <w:highlight w:val="none"/>
              </w:rPr>
            </w:pPr>
          </w:p>
        </w:tc>
        <w:tc>
          <w:tcPr>
            <w:tcW w:w="1538" w:type="dxa"/>
          </w:tcPr>
          <w:p>
            <w:pPr>
              <w:spacing w:after="120" w:line="360" w:lineRule="atLeast"/>
              <w:jc w:val="center"/>
              <w:rPr>
                <w:rFonts w:ascii="新宋体" w:hAnsi="新宋体" w:eastAsia="新宋体"/>
                <w:color w:val="auto"/>
                <w:sz w:val="22"/>
                <w:szCs w:val="22"/>
                <w:highlight w:val="none"/>
              </w:rPr>
            </w:pPr>
          </w:p>
        </w:tc>
        <w:tc>
          <w:tcPr>
            <w:tcW w:w="1583" w:type="dxa"/>
          </w:tcPr>
          <w:p>
            <w:pPr>
              <w:spacing w:after="120" w:line="360" w:lineRule="atLeast"/>
              <w:jc w:val="center"/>
              <w:rPr>
                <w:rFonts w:ascii="新宋体" w:hAnsi="新宋体" w:eastAsia="新宋体"/>
                <w:color w:val="auto"/>
                <w:sz w:val="22"/>
                <w:szCs w:val="22"/>
                <w:highlight w:val="none"/>
              </w:rPr>
            </w:pPr>
          </w:p>
        </w:tc>
        <w:tc>
          <w:tcPr>
            <w:tcW w:w="2036" w:type="dxa"/>
          </w:tcPr>
          <w:p>
            <w:pPr>
              <w:spacing w:after="120" w:line="360" w:lineRule="atLeast"/>
              <w:jc w:val="center"/>
              <w:rPr>
                <w:rFonts w:ascii="新宋体" w:hAnsi="新宋体" w:eastAsia="新宋体"/>
                <w:color w:val="auto"/>
                <w:sz w:val="22"/>
                <w:szCs w:val="22"/>
                <w:highlight w:val="none"/>
              </w:rPr>
            </w:pPr>
          </w:p>
        </w:tc>
        <w:tc>
          <w:tcPr>
            <w:tcW w:w="1471" w:type="dxa"/>
          </w:tcPr>
          <w:p>
            <w:pPr>
              <w:spacing w:after="120" w:line="360" w:lineRule="atLeast"/>
              <w:jc w:val="center"/>
              <w:rPr>
                <w:rFonts w:ascii="新宋体" w:hAnsi="新宋体" w:eastAsia="新宋体"/>
                <w:color w:val="auto"/>
                <w:sz w:val="22"/>
                <w:szCs w:val="22"/>
                <w:highlight w:val="none"/>
              </w:rPr>
            </w:pPr>
          </w:p>
        </w:tc>
        <w:tc>
          <w:tcPr>
            <w:tcW w:w="1007" w:type="dxa"/>
          </w:tcPr>
          <w:p>
            <w:pPr>
              <w:spacing w:after="120" w:line="360" w:lineRule="atLeast"/>
              <w:jc w:val="center"/>
              <w:rPr>
                <w:rFonts w:ascii="新宋体" w:hAnsi="新宋体" w:eastAsia="新宋体"/>
                <w:color w:val="auto"/>
                <w:sz w:val="22"/>
                <w:szCs w:val="22"/>
                <w:highlight w:val="none"/>
              </w:rPr>
            </w:pPr>
          </w:p>
        </w:tc>
        <w:tc>
          <w:tcPr>
            <w:tcW w:w="1351" w:type="dxa"/>
          </w:tcPr>
          <w:p>
            <w:pPr>
              <w:spacing w:after="120" w:line="360" w:lineRule="atLeast"/>
              <w:jc w:val="center"/>
              <w:rPr>
                <w:rFonts w:ascii="新宋体" w:hAnsi="新宋体" w:eastAsia="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7" w:hRule="atLeast"/>
          <w:jc w:val="center"/>
        </w:trPr>
        <w:tc>
          <w:tcPr>
            <w:tcW w:w="834" w:type="dxa"/>
          </w:tcPr>
          <w:p>
            <w:pPr>
              <w:spacing w:after="120" w:line="360" w:lineRule="atLeast"/>
              <w:jc w:val="center"/>
              <w:rPr>
                <w:rFonts w:ascii="新宋体" w:hAnsi="新宋体" w:eastAsia="新宋体"/>
                <w:color w:val="auto"/>
                <w:sz w:val="22"/>
                <w:szCs w:val="22"/>
                <w:highlight w:val="none"/>
              </w:rPr>
            </w:pPr>
          </w:p>
        </w:tc>
        <w:tc>
          <w:tcPr>
            <w:tcW w:w="1538" w:type="dxa"/>
          </w:tcPr>
          <w:p>
            <w:pPr>
              <w:spacing w:after="120" w:line="360" w:lineRule="atLeast"/>
              <w:jc w:val="center"/>
              <w:rPr>
                <w:rFonts w:ascii="新宋体" w:hAnsi="新宋体" w:eastAsia="新宋体"/>
                <w:color w:val="auto"/>
                <w:sz w:val="22"/>
                <w:szCs w:val="22"/>
                <w:highlight w:val="none"/>
              </w:rPr>
            </w:pPr>
          </w:p>
        </w:tc>
        <w:tc>
          <w:tcPr>
            <w:tcW w:w="1583" w:type="dxa"/>
          </w:tcPr>
          <w:p>
            <w:pPr>
              <w:spacing w:after="120" w:line="360" w:lineRule="atLeast"/>
              <w:jc w:val="center"/>
              <w:rPr>
                <w:rFonts w:ascii="新宋体" w:hAnsi="新宋体" w:eastAsia="新宋体"/>
                <w:color w:val="auto"/>
                <w:sz w:val="22"/>
                <w:szCs w:val="22"/>
                <w:highlight w:val="none"/>
              </w:rPr>
            </w:pPr>
          </w:p>
        </w:tc>
        <w:tc>
          <w:tcPr>
            <w:tcW w:w="2036" w:type="dxa"/>
          </w:tcPr>
          <w:p>
            <w:pPr>
              <w:spacing w:after="120" w:line="360" w:lineRule="atLeast"/>
              <w:jc w:val="center"/>
              <w:rPr>
                <w:rFonts w:ascii="新宋体" w:hAnsi="新宋体" w:eastAsia="新宋体"/>
                <w:color w:val="auto"/>
                <w:sz w:val="22"/>
                <w:szCs w:val="22"/>
                <w:highlight w:val="none"/>
              </w:rPr>
            </w:pPr>
          </w:p>
        </w:tc>
        <w:tc>
          <w:tcPr>
            <w:tcW w:w="1471" w:type="dxa"/>
          </w:tcPr>
          <w:p>
            <w:pPr>
              <w:spacing w:after="120" w:line="360" w:lineRule="atLeast"/>
              <w:jc w:val="center"/>
              <w:rPr>
                <w:rFonts w:ascii="新宋体" w:hAnsi="新宋体" w:eastAsia="新宋体"/>
                <w:color w:val="auto"/>
                <w:sz w:val="22"/>
                <w:szCs w:val="22"/>
                <w:highlight w:val="none"/>
              </w:rPr>
            </w:pPr>
          </w:p>
        </w:tc>
        <w:tc>
          <w:tcPr>
            <w:tcW w:w="1007" w:type="dxa"/>
          </w:tcPr>
          <w:p>
            <w:pPr>
              <w:spacing w:after="120" w:line="360" w:lineRule="atLeast"/>
              <w:jc w:val="center"/>
              <w:rPr>
                <w:rFonts w:ascii="新宋体" w:hAnsi="新宋体" w:eastAsia="新宋体"/>
                <w:color w:val="auto"/>
                <w:sz w:val="22"/>
                <w:szCs w:val="22"/>
                <w:highlight w:val="none"/>
              </w:rPr>
            </w:pPr>
          </w:p>
        </w:tc>
        <w:tc>
          <w:tcPr>
            <w:tcW w:w="1351" w:type="dxa"/>
          </w:tcPr>
          <w:p>
            <w:pPr>
              <w:spacing w:after="120" w:line="360" w:lineRule="atLeast"/>
              <w:jc w:val="center"/>
              <w:rPr>
                <w:rFonts w:ascii="新宋体" w:hAnsi="新宋体" w:eastAsia="新宋体"/>
                <w:color w:val="auto"/>
                <w:sz w:val="22"/>
                <w:szCs w:val="22"/>
                <w:highlight w:val="none"/>
              </w:rPr>
            </w:pPr>
          </w:p>
        </w:tc>
      </w:tr>
    </w:tbl>
    <w:p>
      <w:pPr>
        <w:spacing w:line="400" w:lineRule="exact"/>
        <w:rPr>
          <w:rFonts w:ascii="新宋体" w:hAnsi="新宋体" w:eastAsia="新宋体" w:cs="ˎ̥"/>
          <w:color w:val="auto"/>
          <w:sz w:val="22"/>
          <w:szCs w:val="22"/>
          <w:highlight w:val="none"/>
        </w:rPr>
      </w:pPr>
      <w:r>
        <w:rPr>
          <w:rFonts w:hint="eastAsia" w:ascii="新宋体" w:hAnsi="新宋体" w:eastAsia="新宋体" w:cs="ˎ̥"/>
          <w:color w:val="auto"/>
          <w:sz w:val="22"/>
          <w:szCs w:val="22"/>
          <w:highlight w:val="none"/>
        </w:rPr>
        <w:t>注：</w:t>
      </w:r>
    </w:p>
    <w:p>
      <w:pPr>
        <w:spacing w:line="400" w:lineRule="exact"/>
        <w:rPr>
          <w:rFonts w:ascii="新宋体" w:hAnsi="新宋体" w:eastAsia="新宋体" w:cs="ˎ̥"/>
          <w:color w:val="auto"/>
          <w:sz w:val="22"/>
          <w:szCs w:val="22"/>
          <w:highlight w:val="none"/>
        </w:rPr>
      </w:pPr>
      <w:r>
        <w:rPr>
          <w:rFonts w:hint="eastAsia" w:ascii="新宋体" w:hAnsi="新宋体" w:eastAsia="新宋体" w:cs="ˎ̥"/>
          <w:color w:val="auto"/>
          <w:sz w:val="22"/>
          <w:szCs w:val="22"/>
          <w:highlight w:val="none"/>
        </w:rPr>
        <w:t>1.此表仅提供了表格形式，供应商应根据需要准备足够数量的表格来填写。</w:t>
      </w:r>
    </w:p>
    <w:p>
      <w:pPr>
        <w:spacing w:line="400" w:lineRule="exact"/>
        <w:rPr>
          <w:rFonts w:ascii="新宋体" w:hAnsi="新宋体" w:eastAsia="新宋体" w:cs="ˎ̥"/>
          <w:color w:val="auto"/>
          <w:sz w:val="22"/>
          <w:szCs w:val="22"/>
          <w:highlight w:val="none"/>
        </w:rPr>
      </w:pPr>
      <w:r>
        <w:rPr>
          <w:rFonts w:hint="eastAsia" w:ascii="新宋体" w:hAnsi="新宋体" w:eastAsia="新宋体" w:cs="ˎ̥"/>
          <w:color w:val="auto"/>
          <w:sz w:val="22"/>
          <w:szCs w:val="22"/>
          <w:highlight w:val="none"/>
        </w:rPr>
        <w:t xml:space="preserve">2.每项业绩须根据商务技术文件评分细则的要求提供证明材料； </w:t>
      </w:r>
    </w:p>
    <w:p>
      <w:pPr>
        <w:spacing w:line="400" w:lineRule="exact"/>
        <w:rPr>
          <w:rFonts w:ascii="新宋体" w:hAnsi="新宋体" w:eastAsia="新宋体" w:cs="ˎ̥"/>
          <w:color w:val="auto"/>
          <w:sz w:val="22"/>
          <w:szCs w:val="22"/>
          <w:highlight w:val="none"/>
        </w:rPr>
      </w:pPr>
      <w:r>
        <w:rPr>
          <w:rFonts w:hint="eastAsia" w:ascii="新宋体" w:hAnsi="新宋体" w:eastAsia="新宋体" w:cs="ˎ̥"/>
          <w:color w:val="auto"/>
          <w:sz w:val="22"/>
          <w:szCs w:val="22"/>
          <w:highlight w:val="none"/>
        </w:rPr>
        <w:t>3.供应商不按此要求填写此项内容或未按要求提供业绩证明材料将视为无业绩，不纳入评分范围。</w:t>
      </w:r>
    </w:p>
    <w:p>
      <w:pPr>
        <w:spacing w:line="400" w:lineRule="exact"/>
        <w:ind w:left="180"/>
        <w:rPr>
          <w:rFonts w:ascii="新宋体" w:hAnsi="新宋体" w:eastAsia="新宋体"/>
          <w:b/>
          <w:color w:val="auto"/>
          <w:sz w:val="22"/>
          <w:szCs w:val="22"/>
          <w:highlight w:val="none"/>
        </w:rPr>
      </w:pP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投标人全称（盖章）：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法定代表人或授权代表（签字或盖章）：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pPr>
        <w:spacing w:line="460" w:lineRule="exact"/>
        <w:jc w:val="center"/>
        <w:rPr>
          <w:rFonts w:ascii="宋体" w:hAnsi="宋体" w:cs="宋体"/>
          <w:b/>
          <w:color w:val="auto"/>
          <w:kern w:val="1"/>
          <w:sz w:val="28"/>
          <w:szCs w:val="28"/>
          <w:highlight w:val="none"/>
        </w:rPr>
      </w:pPr>
      <w:r>
        <w:rPr>
          <w:rFonts w:ascii="新宋体" w:hAnsi="新宋体" w:eastAsia="新宋体"/>
          <w:color w:val="auto"/>
          <w:sz w:val="22"/>
          <w:szCs w:val="22"/>
          <w:highlight w:val="none"/>
        </w:rPr>
        <w:br w:type="page"/>
      </w:r>
    </w:p>
    <w:p>
      <w:pPr>
        <w:rPr>
          <w:color w:val="auto"/>
          <w:highlight w:val="none"/>
        </w:rPr>
      </w:pPr>
    </w:p>
    <w:p>
      <w:pPr>
        <w:spacing w:before="120" w:beforeLines="50" w:after="120" w:afterLines="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（商务报价标封面，供参考）</w:t>
      </w:r>
    </w:p>
    <w:p>
      <w:pPr>
        <w:rPr>
          <w:rFonts w:ascii="新宋体" w:hAnsi="新宋体" w:eastAsia="新宋体" w:cs="新宋体"/>
          <w:color w:val="auto"/>
          <w:highlight w:val="none"/>
        </w:rPr>
      </w:pPr>
    </w:p>
    <w:p>
      <w:pPr>
        <w:rPr>
          <w:rFonts w:ascii="新宋体" w:hAnsi="新宋体" w:eastAsia="新宋体" w:cs="新宋体"/>
          <w:color w:val="auto"/>
          <w:highlight w:val="none"/>
        </w:rPr>
      </w:pPr>
    </w:p>
    <w:p>
      <w:pPr>
        <w:rPr>
          <w:rFonts w:ascii="新宋体" w:hAnsi="新宋体" w:eastAsia="新宋体" w:cs="新宋体"/>
          <w:color w:val="auto"/>
          <w:highlight w:val="non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（项目名称）</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投标文件</w:t>
      </w:r>
    </w:p>
    <w:p>
      <w:pPr>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pStyle w:val="17"/>
        <w:ind w:firstLine="280"/>
        <w:rPr>
          <w:rFonts w:ascii="新宋体" w:hAnsi="新宋体" w:eastAsia="新宋体" w:cs="新宋体"/>
          <w:color w:val="auto"/>
          <w:sz w:val="28"/>
          <w:szCs w:val="28"/>
          <w:highlight w:val="none"/>
        </w:rPr>
      </w:pPr>
    </w:p>
    <w:p>
      <w:pPr>
        <w:pStyle w:val="17"/>
        <w:ind w:firstLine="280"/>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jc w:val="center"/>
        <w:rPr>
          <w:rFonts w:ascii="新宋体" w:hAnsi="新宋体" w:eastAsia="新宋体" w:cs="新宋体"/>
          <w:color w:val="auto"/>
          <w:sz w:val="52"/>
          <w:szCs w:val="52"/>
          <w:highlight w:val="none"/>
        </w:rPr>
      </w:pPr>
      <w:r>
        <w:rPr>
          <w:rFonts w:hint="eastAsia" w:ascii="新宋体" w:hAnsi="新宋体" w:eastAsia="新宋体" w:cs="新宋体"/>
          <w:color w:val="auto"/>
          <w:sz w:val="52"/>
          <w:szCs w:val="52"/>
          <w:highlight w:val="none"/>
        </w:rPr>
        <w:t>商  务  标</w:t>
      </w: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投标人：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（盖单位章）</w:t>
      </w:r>
    </w:p>
    <w:p>
      <w:pPr>
        <w:rPr>
          <w:rFonts w:ascii="新宋体" w:hAnsi="新宋体" w:eastAsia="新宋体" w:cs="新宋体"/>
          <w:color w:val="auto"/>
          <w:sz w:val="28"/>
          <w:szCs w:val="28"/>
          <w:highlight w:val="none"/>
          <w:u w:val="singl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法定代表人或其委托代理人：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（签字或盖章）</w:t>
      </w:r>
    </w:p>
    <w:p>
      <w:pPr>
        <w:rPr>
          <w:rFonts w:ascii="新宋体" w:hAnsi="新宋体" w:eastAsia="新宋体" w:cs="新宋体"/>
          <w:color w:val="auto"/>
          <w:sz w:val="28"/>
          <w:szCs w:val="28"/>
          <w:highlight w:val="none"/>
        </w:rPr>
      </w:pPr>
    </w:p>
    <w:p>
      <w:pPr>
        <w:overflowPunct w:val="0"/>
        <w:spacing w:line="380" w:lineRule="exact"/>
        <w:ind w:firstLine="2738" w:firstLineChars="978"/>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年</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月</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日</w:t>
      </w:r>
    </w:p>
    <w:p>
      <w:pPr>
        <w:rPr>
          <w:rFonts w:ascii="新宋体" w:hAnsi="新宋体" w:eastAsia="新宋体" w:cs="新宋体"/>
          <w:color w:val="auto"/>
          <w:sz w:val="22"/>
          <w:szCs w:val="22"/>
          <w:highlight w:val="none"/>
        </w:rPr>
      </w:pPr>
    </w:p>
    <w:p>
      <w:pPr>
        <w:rPr>
          <w:rFonts w:ascii="新宋体" w:hAnsi="新宋体" w:eastAsia="新宋体" w:cs="新宋体"/>
          <w:color w:val="auto"/>
          <w:sz w:val="22"/>
          <w:szCs w:val="22"/>
          <w:highlight w:val="none"/>
        </w:rPr>
      </w:pPr>
    </w:p>
    <w:p>
      <w:pPr>
        <w:overflowPunct w:val="0"/>
        <w:spacing w:line="380" w:lineRule="exact"/>
        <w:rPr>
          <w:rFonts w:ascii="新宋体" w:hAnsi="新宋体" w:eastAsia="新宋体" w:cs="新宋体"/>
          <w:b/>
          <w:bCs/>
          <w:color w:val="auto"/>
          <w:sz w:val="22"/>
          <w:szCs w:val="22"/>
          <w:highlight w:val="none"/>
        </w:rPr>
      </w:pPr>
      <w:r>
        <w:rPr>
          <w:rFonts w:hint="eastAsia" w:ascii="新宋体" w:hAnsi="新宋体" w:eastAsia="新宋体" w:cs="新宋体"/>
          <w:color w:val="auto"/>
          <w:sz w:val="22"/>
          <w:szCs w:val="22"/>
          <w:highlight w:val="none"/>
        </w:rPr>
        <w:br w:type="page"/>
      </w:r>
      <w:r>
        <w:rPr>
          <w:rFonts w:hint="eastAsia" w:ascii="新宋体" w:hAnsi="新宋体" w:eastAsia="新宋体" w:cs="新宋体"/>
          <w:b/>
          <w:bCs/>
          <w:color w:val="auto"/>
          <w:sz w:val="22"/>
          <w:szCs w:val="22"/>
          <w:highlight w:val="none"/>
        </w:rPr>
        <w:t>附件一</w:t>
      </w:r>
    </w:p>
    <w:p>
      <w:pPr>
        <w:autoSpaceDE w:val="0"/>
        <w:autoSpaceDN w:val="0"/>
        <w:adjustRightInd w:val="0"/>
        <w:spacing w:line="460" w:lineRule="atLeast"/>
        <w:jc w:val="center"/>
        <w:rPr>
          <w:rFonts w:ascii="新宋体" w:hAnsi="新宋体" w:eastAsia="新宋体" w:cs="新宋体"/>
          <w:b/>
          <w:bCs/>
          <w:color w:val="auto"/>
          <w:kern w:val="0"/>
          <w:sz w:val="28"/>
          <w:szCs w:val="28"/>
          <w:highlight w:val="none"/>
          <w:lang w:val="zh-CN"/>
        </w:rPr>
      </w:pPr>
    </w:p>
    <w:p>
      <w:pPr>
        <w:autoSpaceDE w:val="0"/>
        <w:autoSpaceDN w:val="0"/>
        <w:adjustRightInd w:val="0"/>
        <w:spacing w:line="460" w:lineRule="atLeast"/>
        <w:jc w:val="center"/>
        <w:rPr>
          <w:rFonts w:ascii="新宋体" w:hAnsi="新宋体" w:eastAsia="新宋体" w:cs="新宋体"/>
          <w:b/>
          <w:bCs/>
          <w:color w:val="auto"/>
          <w:kern w:val="0"/>
          <w:sz w:val="28"/>
          <w:szCs w:val="28"/>
          <w:highlight w:val="none"/>
          <w:lang w:val="zh-CN"/>
        </w:rPr>
      </w:pPr>
      <w:r>
        <w:rPr>
          <w:rFonts w:hint="eastAsia" w:ascii="新宋体" w:hAnsi="新宋体" w:eastAsia="新宋体" w:cs="新宋体"/>
          <w:b/>
          <w:bCs/>
          <w:color w:val="auto"/>
          <w:kern w:val="0"/>
          <w:sz w:val="28"/>
          <w:szCs w:val="28"/>
          <w:highlight w:val="none"/>
          <w:lang w:val="zh-CN"/>
        </w:rPr>
        <w:t>开标一览表</w:t>
      </w:r>
    </w:p>
    <w:p>
      <w:pPr>
        <w:overflowPunct w:val="0"/>
        <w:spacing w:line="380" w:lineRule="exact"/>
        <w:jc w:val="center"/>
        <w:rPr>
          <w:rFonts w:ascii="新宋体" w:hAnsi="新宋体" w:eastAsia="新宋体" w:cs="新宋体"/>
          <w:b/>
          <w:bCs/>
          <w:color w:val="auto"/>
          <w:sz w:val="28"/>
          <w:highlight w:val="none"/>
        </w:rPr>
      </w:pPr>
    </w:p>
    <w:p>
      <w:pPr>
        <w:overflowPunct w:val="0"/>
        <w:spacing w:line="38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项目名称：                                   项目编号：</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28"/>
        <w:gridCol w:w="3467"/>
        <w:gridCol w:w="26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trPr>
        <w:tc>
          <w:tcPr>
            <w:tcW w:w="1892" w:type="pct"/>
            <w:vAlign w:val="center"/>
          </w:tcPr>
          <w:p>
            <w:pPr>
              <w:pStyle w:val="10"/>
              <w:spacing w:line="400" w:lineRule="atLeast"/>
              <w:jc w:val="center"/>
              <w:rPr>
                <w:rFonts w:ascii="新宋体" w:hAnsi="新宋体" w:eastAsia="新宋体" w:cs="宋体"/>
                <w:color w:val="auto"/>
                <w:sz w:val="22"/>
                <w:szCs w:val="22"/>
                <w:highlight w:val="none"/>
              </w:rPr>
            </w:pPr>
            <w:r>
              <w:rPr>
                <w:rFonts w:hint="eastAsia" w:ascii="新宋体" w:hAnsi="新宋体" w:eastAsia="新宋体" w:cs="宋体"/>
                <w:color w:val="auto"/>
                <w:sz w:val="22"/>
                <w:szCs w:val="22"/>
                <w:highlight w:val="none"/>
              </w:rPr>
              <w:t>报价项目</w:t>
            </w:r>
          </w:p>
        </w:tc>
        <w:tc>
          <w:tcPr>
            <w:tcW w:w="1759" w:type="pct"/>
            <w:vAlign w:val="center"/>
          </w:tcPr>
          <w:p>
            <w:pPr>
              <w:pStyle w:val="10"/>
              <w:spacing w:line="400" w:lineRule="atLeast"/>
              <w:jc w:val="center"/>
              <w:rPr>
                <w:rFonts w:hint="eastAsia" w:ascii="新宋体" w:hAnsi="新宋体" w:eastAsia="新宋体" w:cs="宋体"/>
                <w:color w:val="auto"/>
                <w:sz w:val="22"/>
                <w:szCs w:val="22"/>
                <w:highlight w:val="none"/>
                <w:lang w:eastAsia="zh-CN"/>
              </w:rPr>
            </w:pPr>
            <w:r>
              <w:rPr>
                <w:rFonts w:hint="eastAsia" w:ascii="新宋体" w:hAnsi="新宋体" w:eastAsia="新宋体" w:cs="宋体"/>
                <w:color w:val="auto"/>
                <w:sz w:val="22"/>
                <w:szCs w:val="22"/>
                <w:highlight w:val="none"/>
              </w:rPr>
              <w:t>投标</w:t>
            </w:r>
            <w:r>
              <w:rPr>
                <w:rFonts w:hint="eastAsia" w:ascii="新宋体" w:hAnsi="新宋体" w:eastAsia="新宋体" w:cs="宋体"/>
                <w:color w:val="auto"/>
                <w:sz w:val="22"/>
                <w:szCs w:val="22"/>
                <w:highlight w:val="none"/>
                <w:lang w:val="en-US" w:eastAsia="zh-CN"/>
              </w:rPr>
              <w:t>报价</w:t>
            </w:r>
          </w:p>
        </w:tc>
        <w:tc>
          <w:tcPr>
            <w:tcW w:w="1349" w:type="pct"/>
            <w:vAlign w:val="center"/>
          </w:tcPr>
          <w:p>
            <w:pPr>
              <w:pStyle w:val="10"/>
              <w:spacing w:line="400" w:lineRule="atLeast"/>
              <w:jc w:val="center"/>
              <w:rPr>
                <w:rFonts w:ascii="新宋体" w:hAnsi="新宋体" w:eastAsia="新宋体" w:cs="宋体"/>
                <w:color w:val="auto"/>
                <w:sz w:val="22"/>
                <w:szCs w:val="22"/>
                <w:highlight w:val="none"/>
              </w:rPr>
            </w:pPr>
            <w:r>
              <w:rPr>
                <w:rFonts w:hint="eastAsia" w:ascii="新宋体" w:hAnsi="新宋体" w:eastAsia="新宋体" w:cs="宋体"/>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5" w:hRule="atLeast"/>
        </w:trPr>
        <w:tc>
          <w:tcPr>
            <w:tcW w:w="1892" w:type="pct"/>
            <w:vAlign w:val="center"/>
          </w:tcPr>
          <w:p>
            <w:pPr>
              <w:autoSpaceDE w:val="0"/>
              <w:autoSpaceDN w:val="0"/>
              <w:adjustRightInd w:val="0"/>
              <w:spacing w:line="300" w:lineRule="auto"/>
              <w:jc w:val="center"/>
              <w:rPr>
                <w:rFonts w:hint="eastAsia" w:ascii="新宋体" w:hAnsi="新宋体" w:eastAsia="新宋体" w:cs="宋体"/>
                <w:color w:val="auto"/>
                <w:sz w:val="22"/>
                <w:szCs w:val="22"/>
                <w:highlight w:val="none"/>
                <w:lang w:eastAsia="zh-CN"/>
              </w:rPr>
            </w:pPr>
            <w:r>
              <w:rPr>
                <w:rFonts w:hint="eastAsia" w:ascii="新宋体" w:hAnsi="新宋体" w:eastAsia="新宋体" w:cs="宋体"/>
                <w:color w:val="auto"/>
                <w:sz w:val="22"/>
                <w:szCs w:val="22"/>
                <w:highlight w:val="none"/>
                <w:lang w:eastAsia="zh-CN"/>
              </w:rPr>
              <w:t>铣刨料破碎筛分设备采购</w:t>
            </w:r>
          </w:p>
        </w:tc>
        <w:tc>
          <w:tcPr>
            <w:tcW w:w="1759" w:type="pct"/>
            <w:vAlign w:val="center"/>
          </w:tcPr>
          <w:p>
            <w:pPr>
              <w:pStyle w:val="16"/>
              <w:spacing w:line="400" w:lineRule="atLeast"/>
              <w:rPr>
                <w:rFonts w:ascii="新宋体" w:hAnsi="新宋体" w:eastAsia="新宋体" w:cs="宋体"/>
                <w:color w:val="auto"/>
                <w:sz w:val="22"/>
                <w:szCs w:val="22"/>
                <w:highlight w:val="none"/>
              </w:rPr>
            </w:pPr>
            <w:r>
              <w:rPr>
                <w:rFonts w:hint="eastAsia" w:ascii="新宋体" w:hAnsi="新宋体" w:eastAsia="新宋体" w:cs="宋体"/>
                <w:color w:val="auto"/>
                <w:sz w:val="22"/>
                <w:szCs w:val="22"/>
                <w:highlight w:val="none"/>
              </w:rPr>
              <w:t>大写：</w:t>
            </w:r>
          </w:p>
          <w:p>
            <w:pPr>
              <w:pStyle w:val="16"/>
              <w:spacing w:line="400" w:lineRule="atLeast"/>
              <w:rPr>
                <w:rFonts w:ascii="新宋体" w:hAnsi="新宋体" w:eastAsia="新宋体" w:cs="宋体"/>
                <w:color w:val="auto"/>
                <w:sz w:val="22"/>
                <w:szCs w:val="22"/>
                <w:highlight w:val="none"/>
              </w:rPr>
            </w:pPr>
            <w:r>
              <w:rPr>
                <w:rFonts w:hint="eastAsia" w:ascii="新宋体" w:hAnsi="新宋体" w:eastAsia="新宋体" w:cs="宋体"/>
                <w:color w:val="auto"/>
                <w:sz w:val="22"/>
                <w:szCs w:val="22"/>
                <w:highlight w:val="none"/>
              </w:rPr>
              <w:t>小写：</w:t>
            </w:r>
          </w:p>
        </w:tc>
        <w:tc>
          <w:tcPr>
            <w:tcW w:w="1349" w:type="pct"/>
            <w:vAlign w:val="center"/>
          </w:tcPr>
          <w:p>
            <w:pPr>
              <w:pStyle w:val="16"/>
              <w:spacing w:line="400" w:lineRule="atLeast"/>
              <w:rPr>
                <w:rFonts w:ascii="新宋体" w:hAnsi="新宋体" w:eastAsia="新宋体" w:cs="宋体"/>
                <w:color w:val="auto"/>
                <w:sz w:val="22"/>
                <w:szCs w:val="22"/>
                <w:highlight w:val="none"/>
              </w:rPr>
            </w:pPr>
          </w:p>
        </w:tc>
      </w:tr>
    </w:tbl>
    <w:p>
      <w:pPr>
        <w:overflowPunct w:val="0"/>
        <w:spacing w:line="380" w:lineRule="exact"/>
        <w:rPr>
          <w:rFonts w:ascii="新宋体" w:hAnsi="新宋体" w:eastAsia="新宋体" w:cs="新宋体"/>
          <w:bCs/>
          <w:color w:val="auto"/>
          <w:sz w:val="22"/>
          <w:szCs w:val="22"/>
          <w:highlight w:val="none"/>
        </w:rPr>
      </w:pPr>
    </w:p>
    <w:p>
      <w:pPr>
        <w:overflowPunct w:val="0"/>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说明：</w:t>
      </w:r>
    </w:p>
    <w:p>
      <w:pPr>
        <w:numPr>
          <w:ilvl w:val="0"/>
          <w:numId w:val="11"/>
        </w:numPr>
        <w:autoSpaceDE w:val="0"/>
        <w:autoSpaceDN w:val="0"/>
        <w:adjustRightInd w:val="0"/>
        <w:spacing w:line="380" w:lineRule="atLeast"/>
        <w:rPr>
          <w:rFonts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此栏内“投标报价”应与附件三</w:t>
      </w:r>
      <w:r>
        <w:rPr>
          <w:rFonts w:ascii="新宋体" w:hAnsi="新宋体" w:eastAsia="新宋体" w:cs="新宋体"/>
          <w:color w:val="auto"/>
          <w:kern w:val="0"/>
          <w:sz w:val="22"/>
          <w:szCs w:val="22"/>
          <w:highlight w:val="none"/>
          <w:lang w:val="zh-CN"/>
        </w:rPr>
        <w:t>“</w:t>
      </w:r>
      <w:r>
        <w:rPr>
          <w:rFonts w:hint="eastAsia" w:ascii="新宋体" w:hAnsi="新宋体" w:eastAsia="新宋体" w:cs="新宋体"/>
          <w:color w:val="auto"/>
          <w:kern w:val="0"/>
          <w:sz w:val="22"/>
          <w:szCs w:val="22"/>
          <w:highlight w:val="none"/>
          <w:lang w:val="zh-CN"/>
        </w:rPr>
        <w:t>投标分项报价表</w:t>
      </w:r>
      <w:r>
        <w:rPr>
          <w:rFonts w:ascii="新宋体" w:hAnsi="新宋体" w:eastAsia="新宋体" w:cs="新宋体"/>
          <w:color w:val="auto"/>
          <w:kern w:val="0"/>
          <w:sz w:val="22"/>
          <w:szCs w:val="22"/>
          <w:highlight w:val="none"/>
          <w:lang w:val="zh-CN"/>
        </w:rPr>
        <w:t>”</w:t>
      </w:r>
      <w:r>
        <w:rPr>
          <w:rFonts w:hint="eastAsia" w:ascii="新宋体" w:hAnsi="新宋体" w:eastAsia="新宋体" w:cs="新宋体"/>
          <w:color w:val="auto"/>
          <w:kern w:val="0"/>
          <w:sz w:val="22"/>
          <w:szCs w:val="22"/>
          <w:highlight w:val="none"/>
          <w:lang w:val="zh-CN"/>
        </w:rPr>
        <w:t>中“合计总价”相一致。</w:t>
      </w:r>
    </w:p>
    <w:p>
      <w:pPr>
        <w:numPr>
          <w:ilvl w:val="0"/>
          <w:numId w:val="11"/>
        </w:numPr>
        <w:overflowPunct w:val="0"/>
        <w:spacing w:line="460" w:lineRule="exact"/>
        <w:rPr>
          <w:rFonts w:ascii="新宋体" w:hAnsi="新宋体" w:eastAsia="新宋体" w:cs="新宋体"/>
          <w:b/>
          <w:bCs/>
          <w:color w:val="auto"/>
          <w:sz w:val="22"/>
          <w:szCs w:val="22"/>
          <w:highlight w:val="none"/>
          <w:u w:val="single"/>
        </w:rPr>
      </w:pPr>
      <w:r>
        <w:rPr>
          <w:rFonts w:hint="eastAsia" w:ascii="新宋体" w:hAnsi="新宋体" w:eastAsia="新宋体" w:cs="新宋体"/>
          <w:b/>
          <w:bCs/>
          <w:color w:val="auto"/>
          <w:kern w:val="0"/>
          <w:sz w:val="22"/>
          <w:szCs w:val="22"/>
          <w:highlight w:val="none"/>
          <w:u w:val="single"/>
          <w:lang w:val="en-US" w:eastAsia="zh-CN"/>
        </w:rPr>
        <w:t>本项目预算金额90万元，最高限价70万元，超出最高限价按无效标处理。</w:t>
      </w:r>
    </w:p>
    <w:p>
      <w:pPr>
        <w:numPr>
          <w:ilvl w:val="0"/>
          <w:numId w:val="11"/>
        </w:numPr>
        <w:overflowPunct w:val="0"/>
        <w:spacing w:line="460" w:lineRule="exact"/>
        <w:rPr>
          <w:rFonts w:ascii="新宋体" w:hAnsi="新宋体" w:eastAsia="新宋体" w:cs="新宋体"/>
          <w:b/>
          <w:color w:val="auto"/>
          <w:sz w:val="22"/>
          <w:szCs w:val="22"/>
          <w:highlight w:val="none"/>
        </w:rPr>
      </w:pPr>
      <w:r>
        <w:rPr>
          <w:rFonts w:hint="eastAsia" w:ascii="新宋体" w:hAnsi="新宋体" w:eastAsia="新宋体" w:cs="新宋体"/>
          <w:b/>
          <w:bCs/>
          <w:color w:val="auto"/>
          <w:kern w:val="0"/>
          <w:sz w:val="22"/>
          <w:szCs w:val="22"/>
          <w:highlight w:val="none"/>
          <w:u w:val="single"/>
          <w:lang w:val="zh-CN"/>
        </w:rPr>
        <w:t>不提供此表格将被视为没有实质性响应采购文件</w:t>
      </w:r>
      <w:r>
        <w:rPr>
          <w:rFonts w:ascii="新宋体" w:hAnsi="新宋体" w:eastAsia="新宋体" w:cs="新宋体"/>
          <w:b/>
          <w:bCs/>
          <w:color w:val="auto"/>
          <w:kern w:val="0"/>
          <w:sz w:val="22"/>
          <w:szCs w:val="22"/>
          <w:highlight w:val="none"/>
          <w:u w:val="single"/>
          <w:lang w:val="zh-CN"/>
        </w:rPr>
        <w:t>,</w:t>
      </w:r>
      <w:r>
        <w:rPr>
          <w:rFonts w:hint="eastAsia" w:ascii="新宋体" w:hAnsi="新宋体" w:eastAsia="新宋体" w:cs="新宋体"/>
          <w:b/>
          <w:bCs/>
          <w:color w:val="auto"/>
          <w:kern w:val="0"/>
          <w:sz w:val="22"/>
          <w:szCs w:val="22"/>
          <w:highlight w:val="none"/>
          <w:u w:val="single"/>
          <w:lang w:val="zh-CN"/>
        </w:rPr>
        <w:t>其投标文件将被拒绝。</w:t>
      </w:r>
    </w:p>
    <w:p>
      <w:pPr>
        <w:overflowPunct w:val="0"/>
        <w:spacing w:line="460" w:lineRule="exact"/>
        <w:rPr>
          <w:rFonts w:ascii="新宋体" w:hAnsi="新宋体" w:eastAsia="新宋体" w:cs="新宋体"/>
          <w:b/>
          <w:color w:val="auto"/>
          <w:sz w:val="22"/>
          <w:szCs w:val="22"/>
          <w:highlight w:val="none"/>
        </w:rPr>
      </w:pPr>
    </w:p>
    <w:p>
      <w:pPr>
        <w:overflowPunct w:val="0"/>
        <w:spacing w:line="460" w:lineRule="exact"/>
        <w:rPr>
          <w:rFonts w:ascii="新宋体" w:hAnsi="新宋体" w:eastAsia="新宋体" w:cs="新宋体"/>
          <w:color w:val="auto"/>
          <w:sz w:val="22"/>
          <w:szCs w:val="22"/>
          <w:highlight w:val="none"/>
        </w:rPr>
      </w:pPr>
    </w:p>
    <w:p>
      <w:pPr>
        <w:overflowPunct w:val="0"/>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投标人全称（盖章）：</w:t>
      </w:r>
    </w:p>
    <w:p>
      <w:pPr>
        <w:overflowPunct w:val="0"/>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法定代表人或授权代表（签名或盖章）：</w:t>
      </w:r>
    </w:p>
    <w:p>
      <w:pPr>
        <w:overflowPunct w:val="0"/>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pPr>
        <w:overflowPunct w:val="0"/>
        <w:spacing w:line="460" w:lineRule="exact"/>
        <w:rPr>
          <w:rFonts w:ascii="新宋体" w:hAnsi="新宋体" w:eastAsia="新宋体" w:cs="新宋体"/>
          <w:color w:val="auto"/>
          <w:sz w:val="22"/>
          <w:szCs w:val="22"/>
          <w:highlight w:val="none"/>
        </w:rPr>
      </w:pPr>
    </w:p>
    <w:p>
      <w:pPr>
        <w:overflowPunct w:val="0"/>
        <w:spacing w:line="380" w:lineRule="exact"/>
        <w:ind w:firstLine="9460" w:firstLineChars="4300"/>
        <w:rPr>
          <w:rFonts w:ascii="新宋体" w:hAnsi="新宋体" w:eastAsia="新宋体" w:cs="新宋体"/>
          <w:color w:val="auto"/>
          <w:sz w:val="22"/>
          <w:szCs w:val="22"/>
          <w:highlight w:val="none"/>
        </w:rPr>
      </w:pPr>
    </w:p>
    <w:p>
      <w:pPr>
        <w:spacing w:line="380" w:lineRule="exact"/>
        <w:jc w:val="center"/>
        <w:rPr>
          <w:rFonts w:ascii="新宋体" w:hAnsi="新宋体" w:eastAsia="新宋体" w:cs="新宋体"/>
          <w:b/>
          <w:bCs/>
          <w:color w:val="auto"/>
          <w:sz w:val="28"/>
          <w:szCs w:val="28"/>
          <w:highlight w:val="none"/>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8"/>
          <w:szCs w:val="28"/>
          <w:highlight w:val="none"/>
        </w:rPr>
        <w:t>投标分项报价表</w:t>
      </w:r>
    </w:p>
    <w:p>
      <w:pPr>
        <w:spacing w:line="380" w:lineRule="exact"/>
        <w:rPr>
          <w:rFonts w:ascii="新宋体" w:hAnsi="新宋体" w:eastAsia="新宋体" w:cs="新宋体"/>
          <w:b/>
          <w:color w:val="auto"/>
          <w:sz w:val="22"/>
          <w:highlight w:val="none"/>
        </w:rPr>
      </w:pPr>
      <w:r>
        <w:rPr>
          <w:rFonts w:hint="eastAsia" w:ascii="新宋体" w:hAnsi="新宋体" w:eastAsia="新宋体" w:cs="新宋体"/>
          <w:b/>
          <w:color w:val="auto"/>
          <w:sz w:val="22"/>
          <w:highlight w:val="none"/>
        </w:rPr>
        <w:t xml:space="preserve">项目名称： </w:t>
      </w:r>
      <w:r>
        <w:rPr>
          <w:rFonts w:hint="eastAsia" w:ascii="新宋体" w:hAnsi="新宋体" w:eastAsia="新宋体" w:cs="新宋体"/>
          <w:color w:val="auto"/>
          <w:sz w:val="22"/>
          <w:highlight w:val="none"/>
        </w:rPr>
        <w:t xml:space="preserve">       </w:t>
      </w:r>
      <w:r>
        <w:rPr>
          <w:rFonts w:hint="eastAsia" w:ascii="新宋体" w:hAnsi="新宋体" w:eastAsia="新宋体" w:cs="新宋体"/>
          <w:b/>
          <w:color w:val="auto"/>
          <w:sz w:val="22"/>
          <w:highlight w:val="none"/>
        </w:rPr>
        <w:t xml:space="preserve">                             项目编号：</w:t>
      </w:r>
    </w:p>
    <w:p>
      <w:pPr>
        <w:spacing w:line="380" w:lineRule="exact"/>
        <w:rPr>
          <w:rFonts w:ascii="新宋体" w:hAnsi="新宋体" w:eastAsia="新宋体" w:cs="新宋体"/>
          <w:b/>
          <w:color w:val="auto"/>
          <w:sz w:val="22"/>
          <w:highlight w:val="none"/>
        </w:rPr>
      </w:pPr>
      <w:r>
        <w:rPr>
          <w:rFonts w:hint="eastAsia" w:ascii="新宋体" w:hAnsi="新宋体" w:eastAsia="新宋体" w:cs="新宋体"/>
          <w:b/>
          <w:color w:val="auto"/>
          <w:sz w:val="22"/>
          <w:highlight w:val="none"/>
        </w:rPr>
        <w:t>价格单位：元</w:t>
      </w:r>
    </w:p>
    <w:tbl>
      <w:tblPr>
        <w:tblStyle w:val="18"/>
        <w:tblW w:w="0" w:type="auto"/>
        <w:tblInd w:w="0" w:type="dxa"/>
        <w:tblLayout w:type="fixed"/>
        <w:tblCellMar>
          <w:top w:w="0" w:type="dxa"/>
          <w:left w:w="108" w:type="dxa"/>
          <w:bottom w:w="0" w:type="dxa"/>
          <w:right w:w="108" w:type="dxa"/>
        </w:tblCellMar>
      </w:tblPr>
      <w:tblGrid>
        <w:gridCol w:w="437"/>
        <w:gridCol w:w="3254"/>
        <w:gridCol w:w="1040"/>
        <w:gridCol w:w="603"/>
        <w:gridCol w:w="893"/>
        <w:gridCol w:w="1247"/>
        <w:gridCol w:w="1180"/>
        <w:gridCol w:w="1198"/>
      </w:tblGrid>
      <w:tr>
        <w:tblPrEx>
          <w:tblCellMar>
            <w:top w:w="0" w:type="dxa"/>
            <w:left w:w="108" w:type="dxa"/>
            <w:bottom w:w="0" w:type="dxa"/>
            <w:right w:w="108" w:type="dxa"/>
          </w:tblCellMar>
        </w:tblPrEx>
        <w:trPr>
          <w:trHeight w:val="1310" w:hRule="exact"/>
        </w:trPr>
        <w:tc>
          <w:tcPr>
            <w:tcW w:w="437" w:type="dxa"/>
            <w:tcBorders>
              <w:top w:val="single" w:color="000000" w:sz="12" w:space="0"/>
              <w:left w:val="single" w:color="000000" w:sz="1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r>
              <w:rPr>
                <w:rFonts w:ascii="宋体" w:hAnsi="宋体" w:cs="宋体"/>
                <w:color w:val="auto"/>
                <w:kern w:val="1"/>
                <w:sz w:val="22"/>
                <w:szCs w:val="22"/>
                <w:highlight w:val="none"/>
              </w:rPr>
              <w:t>序号</w:t>
            </w:r>
          </w:p>
          <w:p>
            <w:pPr>
              <w:spacing w:line="400" w:lineRule="exact"/>
              <w:jc w:val="center"/>
              <w:rPr>
                <w:rFonts w:ascii="宋体" w:hAnsi="宋体" w:cs="宋体"/>
                <w:color w:val="auto"/>
                <w:kern w:val="1"/>
                <w:sz w:val="22"/>
                <w:szCs w:val="22"/>
                <w:highlight w:val="none"/>
              </w:rPr>
            </w:pPr>
          </w:p>
        </w:tc>
        <w:tc>
          <w:tcPr>
            <w:tcW w:w="3254" w:type="dxa"/>
            <w:tcBorders>
              <w:top w:val="single" w:color="000000" w:sz="1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r>
              <w:rPr>
                <w:rFonts w:ascii="宋体" w:hAnsi="宋体" w:cs="宋体"/>
                <w:color w:val="auto"/>
                <w:kern w:val="1"/>
                <w:sz w:val="22"/>
                <w:szCs w:val="22"/>
                <w:highlight w:val="none"/>
              </w:rPr>
              <w:t>项目内容</w:t>
            </w:r>
          </w:p>
        </w:tc>
        <w:tc>
          <w:tcPr>
            <w:tcW w:w="1040" w:type="dxa"/>
            <w:tcBorders>
              <w:top w:val="single" w:color="000000" w:sz="1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r>
              <w:rPr>
                <w:rFonts w:ascii="宋体" w:hAnsi="宋体" w:cs="宋体"/>
                <w:color w:val="auto"/>
                <w:kern w:val="1"/>
                <w:sz w:val="22"/>
                <w:szCs w:val="22"/>
                <w:highlight w:val="none"/>
              </w:rPr>
              <w:t>型号和规格</w:t>
            </w:r>
          </w:p>
        </w:tc>
        <w:tc>
          <w:tcPr>
            <w:tcW w:w="603" w:type="dxa"/>
            <w:tcBorders>
              <w:top w:val="single" w:color="000000" w:sz="1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r>
              <w:rPr>
                <w:rFonts w:ascii="宋体" w:hAnsi="宋体" w:cs="宋体"/>
                <w:color w:val="auto"/>
                <w:kern w:val="1"/>
                <w:sz w:val="22"/>
                <w:szCs w:val="22"/>
                <w:highlight w:val="none"/>
              </w:rPr>
              <w:t>数量</w:t>
            </w:r>
          </w:p>
        </w:tc>
        <w:tc>
          <w:tcPr>
            <w:tcW w:w="893" w:type="dxa"/>
            <w:tcBorders>
              <w:top w:val="single" w:color="000000" w:sz="1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r>
              <w:rPr>
                <w:rFonts w:ascii="宋体" w:hAnsi="宋体" w:cs="宋体"/>
                <w:color w:val="auto"/>
                <w:kern w:val="1"/>
                <w:sz w:val="22"/>
                <w:szCs w:val="22"/>
                <w:highlight w:val="none"/>
              </w:rPr>
              <w:t>产地</w:t>
            </w:r>
          </w:p>
        </w:tc>
        <w:tc>
          <w:tcPr>
            <w:tcW w:w="1247" w:type="dxa"/>
            <w:tcBorders>
              <w:top w:val="single" w:color="000000" w:sz="1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r>
              <w:rPr>
                <w:rFonts w:ascii="宋体" w:hAnsi="宋体" w:cs="宋体"/>
                <w:color w:val="auto"/>
                <w:kern w:val="1"/>
                <w:sz w:val="22"/>
                <w:szCs w:val="22"/>
                <w:highlight w:val="none"/>
              </w:rPr>
              <w:t>制造厂商名称</w:t>
            </w:r>
          </w:p>
        </w:tc>
        <w:tc>
          <w:tcPr>
            <w:tcW w:w="1180" w:type="dxa"/>
            <w:tcBorders>
              <w:top w:val="single" w:color="000000" w:sz="1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r>
              <w:rPr>
                <w:rFonts w:ascii="宋体" w:hAnsi="宋体" w:cs="宋体"/>
                <w:color w:val="auto"/>
                <w:kern w:val="1"/>
                <w:sz w:val="22"/>
                <w:szCs w:val="22"/>
                <w:highlight w:val="none"/>
              </w:rPr>
              <w:t>单价（元）</w:t>
            </w:r>
          </w:p>
        </w:tc>
        <w:tc>
          <w:tcPr>
            <w:tcW w:w="1198" w:type="dxa"/>
            <w:tcBorders>
              <w:top w:val="single" w:color="000000" w:sz="12" w:space="0"/>
              <w:left w:val="single" w:color="000000" w:sz="2" w:space="0"/>
              <w:bottom w:val="single" w:color="000000" w:sz="2" w:space="0"/>
              <w:right w:val="single" w:color="000000" w:sz="12" w:space="0"/>
            </w:tcBorders>
            <w:vAlign w:val="center"/>
          </w:tcPr>
          <w:p>
            <w:pPr>
              <w:spacing w:line="400" w:lineRule="exact"/>
              <w:jc w:val="center"/>
              <w:rPr>
                <w:rFonts w:ascii="宋体" w:hAnsi="宋体" w:cs="宋体"/>
                <w:color w:val="auto"/>
                <w:kern w:val="1"/>
                <w:sz w:val="22"/>
                <w:szCs w:val="22"/>
                <w:highlight w:val="none"/>
              </w:rPr>
            </w:pPr>
            <w:r>
              <w:rPr>
                <w:rFonts w:ascii="宋体" w:hAnsi="宋体" w:cs="宋体"/>
                <w:color w:val="auto"/>
                <w:kern w:val="1"/>
                <w:sz w:val="22"/>
                <w:szCs w:val="22"/>
                <w:highlight w:val="none"/>
              </w:rPr>
              <w:t>合价（元）</w:t>
            </w:r>
          </w:p>
        </w:tc>
      </w:tr>
      <w:tr>
        <w:tblPrEx>
          <w:tblCellMar>
            <w:top w:w="0" w:type="dxa"/>
            <w:left w:w="108" w:type="dxa"/>
            <w:bottom w:w="0" w:type="dxa"/>
            <w:right w:w="108" w:type="dxa"/>
          </w:tblCellMar>
        </w:tblPrEx>
        <w:trPr>
          <w:trHeight w:val="894" w:hRule="exact"/>
        </w:trPr>
        <w:tc>
          <w:tcPr>
            <w:tcW w:w="437" w:type="dxa"/>
            <w:tcBorders>
              <w:top w:val="single" w:color="000000" w:sz="2" w:space="0"/>
              <w:left w:val="single" w:color="000000" w:sz="1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r>
              <w:rPr>
                <w:rFonts w:ascii="宋体" w:hAnsi="宋体" w:cs="宋体"/>
                <w:color w:val="auto"/>
                <w:kern w:val="1"/>
                <w:sz w:val="22"/>
                <w:szCs w:val="22"/>
                <w:highlight w:val="none"/>
              </w:rPr>
              <w:t>1</w:t>
            </w:r>
          </w:p>
        </w:tc>
        <w:tc>
          <w:tcPr>
            <w:tcW w:w="3254" w:type="dxa"/>
            <w:tcBorders>
              <w:top w:val="single" w:color="000000" w:sz="2" w:space="0"/>
              <w:left w:val="single" w:color="000000" w:sz="2" w:space="0"/>
              <w:bottom w:val="single" w:color="auto" w:sz="4" w:space="0"/>
              <w:right w:val="single" w:color="000000" w:sz="2" w:space="0"/>
            </w:tcBorders>
            <w:vAlign w:val="center"/>
          </w:tcPr>
          <w:p>
            <w:pPr>
              <w:spacing w:line="400" w:lineRule="exact"/>
              <w:rPr>
                <w:rFonts w:ascii="宋体" w:hAnsi="宋体" w:cs="宋体"/>
                <w:color w:val="auto"/>
                <w:kern w:val="1"/>
                <w:sz w:val="22"/>
                <w:szCs w:val="22"/>
                <w:highlight w:val="none"/>
              </w:rPr>
            </w:pPr>
            <w:r>
              <w:rPr>
                <w:rFonts w:ascii="宋体" w:hAnsi="宋体" w:cs="宋体"/>
                <w:color w:val="auto"/>
                <w:kern w:val="1"/>
                <w:sz w:val="22"/>
                <w:szCs w:val="22"/>
                <w:highlight w:val="none"/>
              </w:rPr>
              <w:t>产品和标准附件 (含税)（按配置清单逐项列出）</w:t>
            </w:r>
          </w:p>
        </w:tc>
        <w:tc>
          <w:tcPr>
            <w:tcW w:w="1040"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p>
        </w:tc>
        <w:tc>
          <w:tcPr>
            <w:tcW w:w="603"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p>
        </w:tc>
        <w:tc>
          <w:tcPr>
            <w:tcW w:w="893"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p>
        </w:tc>
        <w:tc>
          <w:tcPr>
            <w:tcW w:w="1247"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p>
        </w:tc>
        <w:tc>
          <w:tcPr>
            <w:tcW w:w="1180"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p>
        </w:tc>
        <w:tc>
          <w:tcPr>
            <w:tcW w:w="1198" w:type="dxa"/>
            <w:tcBorders>
              <w:top w:val="single" w:color="000000" w:sz="2" w:space="0"/>
              <w:left w:val="single" w:color="000000" w:sz="2" w:space="0"/>
              <w:bottom w:val="single" w:color="000000" w:sz="2" w:space="0"/>
              <w:right w:val="single" w:color="000000" w:sz="12" w:space="0"/>
            </w:tcBorders>
            <w:vAlign w:val="center"/>
          </w:tcPr>
          <w:p>
            <w:pPr>
              <w:spacing w:line="400" w:lineRule="exact"/>
              <w:jc w:val="center"/>
              <w:rPr>
                <w:rFonts w:ascii="宋体" w:hAnsi="宋体" w:cs="宋体"/>
                <w:color w:val="auto"/>
                <w:kern w:val="1"/>
                <w:sz w:val="22"/>
                <w:szCs w:val="22"/>
                <w:highlight w:val="none"/>
              </w:rPr>
            </w:pPr>
          </w:p>
        </w:tc>
      </w:tr>
      <w:tr>
        <w:tblPrEx>
          <w:tblCellMar>
            <w:top w:w="0" w:type="dxa"/>
            <w:left w:w="108" w:type="dxa"/>
            <w:bottom w:w="0" w:type="dxa"/>
            <w:right w:w="108" w:type="dxa"/>
          </w:tblCellMar>
        </w:tblPrEx>
        <w:trPr>
          <w:trHeight w:val="968" w:hRule="exact"/>
        </w:trPr>
        <w:tc>
          <w:tcPr>
            <w:tcW w:w="437" w:type="dxa"/>
            <w:tcBorders>
              <w:top w:val="single" w:color="000000" w:sz="2" w:space="0"/>
              <w:left w:val="single" w:color="000000" w:sz="1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r>
              <w:rPr>
                <w:rFonts w:ascii="宋体" w:hAnsi="宋体" w:cs="宋体"/>
                <w:color w:val="auto"/>
                <w:kern w:val="1"/>
                <w:sz w:val="22"/>
                <w:szCs w:val="22"/>
                <w:highlight w:val="none"/>
              </w:rPr>
              <w:t>2</w:t>
            </w:r>
          </w:p>
        </w:tc>
        <w:tc>
          <w:tcPr>
            <w:tcW w:w="3254" w:type="dxa"/>
            <w:tcBorders>
              <w:top w:val="single" w:color="auto" w:sz="4" w:space="0"/>
              <w:left w:val="single" w:color="000000" w:sz="2" w:space="0"/>
              <w:bottom w:val="single" w:color="000000" w:sz="2" w:space="0"/>
              <w:right w:val="single" w:color="000000" w:sz="2" w:space="0"/>
            </w:tcBorders>
            <w:vAlign w:val="center"/>
          </w:tcPr>
          <w:p>
            <w:pPr>
              <w:spacing w:line="400" w:lineRule="exact"/>
              <w:rPr>
                <w:rFonts w:ascii="宋体" w:hAnsi="宋体" w:cs="宋体"/>
                <w:color w:val="auto"/>
                <w:kern w:val="1"/>
                <w:sz w:val="22"/>
                <w:szCs w:val="22"/>
                <w:highlight w:val="none"/>
              </w:rPr>
            </w:pPr>
            <w:r>
              <w:rPr>
                <w:rFonts w:ascii="宋体" w:hAnsi="宋体" w:cs="宋体"/>
                <w:color w:val="auto"/>
                <w:kern w:val="1"/>
                <w:sz w:val="22"/>
                <w:szCs w:val="22"/>
                <w:highlight w:val="none"/>
              </w:rPr>
              <w:t>随机备品备件、耗材、专用工具（如有）</w:t>
            </w:r>
          </w:p>
        </w:tc>
        <w:tc>
          <w:tcPr>
            <w:tcW w:w="6161" w:type="dxa"/>
            <w:gridSpan w:val="6"/>
            <w:tcBorders>
              <w:top w:val="single" w:color="000000" w:sz="2" w:space="0"/>
              <w:left w:val="single" w:color="000000" w:sz="2" w:space="0"/>
              <w:bottom w:val="single" w:color="000000" w:sz="2" w:space="0"/>
              <w:right w:val="single" w:color="000000" w:sz="12" w:space="0"/>
            </w:tcBorders>
            <w:vAlign w:val="center"/>
          </w:tcPr>
          <w:p>
            <w:pPr>
              <w:spacing w:line="400" w:lineRule="exact"/>
              <w:jc w:val="center"/>
              <w:rPr>
                <w:rFonts w:ascii="宋体" w:hAnsi="宋体" w:cs="宋体"/>
                <w:color w:val="auto"/>
                <w:kern w:val="1"/>
                <w:sz w:val="22"/>
                <w:szCs w:val="22"/>
                <w:highlight w:val="none"/>
              </w:rPr>
            </w:pPr>
            <w:r>
              <w:rPr>
                <w:rFonts w:hint="eastAsia" w:ascii="宋体" w:hAnsi="宋体" w:cs="宋体"/>
                <w:color w:val="auto"/>
                <w:kern w:val="1"/>
                <w:sz w:val="22"/>
                <w:szCs w:val="22"/>
                <w:highlight w:val="none"/>
              </w:rPr>
              <w:t>含</w:t>
            </w:r>
          </w:p>
        </w:tc>
      </w:tr>
      <w:tr>
        <w:tblPrEx>
          <w:tblCellMar>
            <w:top w:w="0" w:type="dxa"/>
            <w:left w:w="108" w:type="dxa"/>
            <w:bottom w:w="0" w:type="dxa"/>
            <w:right w:w="108" w:type="dxa"/>
          </w:tblCellMar>
        </w:tblPrEx>
        <w:trPr>
          <w:trHeight w:val="936" w:hRule="exact"/>
        </w:trPr>
        <w:tc>
          <w:tcPr>
            <w:tcW w:w="437" w:type="dxa"/>
            <w:tcBorders>
              <w:top w:val="single" w:color="000000" w:sz="2" w:space="0"/>
              <w:left w:val="single" w:color="000000" w:sz="1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r>
              <w:rPr>
                <w:rFonts w:hint="eastAsia" w:ascii="宋体" w:hAnsi="宋体" w:cs="宋体"/>
                <w:color w:val="auto"/>
                <w:kern w:val="1"/>
                <w:sz w:val="22"/>
                <w:szCs w:val="22"/>
                <w:highlight w:val="none"/>
              </w:rPr>
              <w:t>3</w:t>
            </w:r>
          </w:p>
        </w:tc>
        <w:tc>
          <w:tcPr>
            <w:tcW w:w="3254"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color w:val="auto"/>
                <w:kern w:val="1"/>
                <w:sz w:val="22"/>
                <w:szCs w:val="22"/>
                <w:highlight w:val="none"/>
              </w:rPr>
            </w:pPr>
            <w:r>
              <w:rPr>
                <w:rFonts w:ascii="宋体" w:hAnsi="宋体" w:cs="宋体"/>
                <w:color w:val="auto"/>
                <w:kern w:val="1"/>
                <w:sz w:val="22"/>
                <w:szCs w:val="22"/>
                <w:highlight w:val="none"/>
              </w:rPr>
              <w:t>安装、调试、检验费（含第三方检验费）</w:t>
            </w:r>
          </w:p>
        </w:tc>
        <w:tc>
          <w:tcPr>
            <w:tcW w:w="6161" w:type="dxa"/>
            <w:gridSpan w:val="6"/>
            <w:tcBorders>
              <w:top w:val="single" w:color="000000" w:sz="2" w:space="0"/>
              <w:left w:val="single" w:color="000000" w:sz="2" w:space="0"/>
              <w:bottom w:val="single" w:color="000000" w:sz="2" w:space="0"/>
              <w:right w:val="single" w:color="000000" w:sz="12" w:space="0"/>
            </w:tcBorders>
            <w:vAlign w:val="center"/>
          </w:tcPr>
          <w:p>
            <w:pPr>
              <w:spacing w:line="400" w:lineRule="exact"/>
              <w:jc w:val="center"/>
              <w:rPr>
                <w:rFonts w:ascii="宋体" w:hAnsi="宋体" w:cs="宋体"/>
                <w:color w:val="auto"/>
                <w:kern w:val="1"/>
                <w:sz w:val="22"/>
                <w:szCs w:val="22"/>
                <w:highlight w:val="none"/>
              </w:rPr>
            </w:pPr>
            <w:r>
              <w:rPr>
                <w:rFonts w:hint="eastAsia" w:ascii="宋体" w:hAnsi="宋体" w:cs="宋体"/>
                <w:color w:val="auto"/>
                <w:kern w:val="1"/>
                <w:sz w:val="22"/>
                <w:szCs w:val="22"/>
                <w:highlight w:val="none"/>
              </w:rPr>
              <w:t>含</w:t>
            </w:r>
          </w:p>
        </w:tc>
      </w:tr>
      <w:tr>
        <w:tblPrEx>
          <w:tblCellMar>
            <w:top w:w="0" w:type="dxa"/>
            <w:left w:w="108" w:type="dxa"/>
            <w:bottom w:w="0" w:type="dxa"/>
            <w:right w:w="108" w:type="dxa"/>
          </w:tblCellMar>
        </w:tblPrEx>
        <w:trPr>
          <w:trHeight w:val="724" w:hRule="exact"/>
        </w:trPr>
        <w:tc>
          <w:tcPr>
            <w:tcW w:w="437" w:type="dxa"/>
            <w:tcBorders>
              <w:top w:val="single" w:color="000000" w:sz="2" w:space="0"/>
              <w:left w:val="single" w:color="000000" w:sz="1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r>
              <w:rPr>
                <w:rFonts w:hint="eastAsia" w:ascii="宋体" w:hAnsi="宋体" w:cs="宋体"/>
                <w:color w:val="auto"/>
                <w:kern w:val="1"/>
                <w:sz w:val="22"/>
                <w:szCs w:val="22"/>
                <w:highlight w:val="none"/>
              </w:rPr>
              <w:t>4</w:t>
            </w:r>
          </w:p>
        </w:tc>
        <w:tc>
          <w:tcPr>
            <w:tcW w:w="3254"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color w:val="auto"/>
                <w:kern w:val="1"/>
                <w:sz w:val="22"/>
                <w:szCs w:val="22"/>
                <w:highlight w:val="none"/>
              </w:rPr>
            </w:pPr>
            <w:r>
              <w:rPr>
                <w:rFonts w:ascii="宋体" w:hAnsi="宋体" w:cs="宋体"/>
                <w:color w:val="auto"/>
                <w:kern w:val="1"/>
                <w:sz w:val="22"/>
                <w:szCs w:val="22"/>
                <w:highlight w:val="none"/>
              </w:rPr>
              <w:t>技术服务费</w:t>
            </w:r>
            <w:r>
              <w:rPr>
                <w:rFonts w:hint="eastAsia" w:ascii="宋体" w:hAnsi="宋体" w:cs="宋体"/>
                <w:color w:val="auto"/>
                <w:kern w:val="1"/>
                <w:sz w:val="22"/>
                <w:szCs w:val="22"/>
                <w:highlight w:val="none"/>
              </w:rPr>
              <w:t>、培训费</w:t>
            </w:r>
            <w:r>
              <w:rPr>
                <w:rFonts w:ascii="宋体" w:hAnsi="宋体" w:cs="宋体"/>
                <w:color w:val="auto"/>
                <w:kern w:val="1"/>
                <w:sz w:val="22"/>
                <w:szCs w:val="22"/>
                <w:highlight w:val="none"/>
              </w:rPr>
              <w:t>（如有）</w:t>
            </w:r>
          </w:p>
        </w:tc>
        <w:tc>
          <w:tcPr>
            <w:tcW w:w="6161" w:type="dxa"/>
            <w:gridSpan w:val="6"/>
            <w:tcBorders>
              <w:top w:val="single" w:color="000000" w:sz="2" w:space="0"/>
              <w:left w:val="single" w:color="000000" w:sz="2" w:space="0"/>
              <w:bottom w:val="single" w:color="000000" w:sz="2" w:space="0"/>
              <w:right w:val="single" w:color="000000" w:sz="12" w:space="0"/>
            </w:tcBorders>
            <w:vAlign w:val="center"/>
          </w:tcPr>
          <w:p>
            <w:pPr>
              <w:spacing w:line="400" w:lineRule="exact"/>
              <w:jc w:val="center"/>
              <w:rPr>
                <w:rFonts w:ascii="宋体" w:hAnsi="宋体" w:cs="宋体"/>
                <w:color w:val="auto"/>
                <w:kern w:val="1"/>
                <w:sz w:val="22"/>
                <w:szCs w:val="22"/>
                <w:highlight w:val="none"/>
              </w:rPr>
            </w:pPr>
            <w:r>
              <w:rPr>
                <w:rFonts w:hint="eastAsia" w:ascii="宋体" w:hAnsi="宋体" w:cs="宋体"/>
                <w:color w:val="auto"/>
                <w:kern w:val="1"/>
                <w:sz w:val="22"/>
                <w:szCs w:val="22"/>
                <w:highlight w:val="none"/>
              </w:rPr>
              <w:t>含</w:t>
            </w:r>
          </w:p>
        </w:tc>
      </w:tr>
      <w:tr>
        <w:tblPrEx>
          <w:tblCellMar>
            <w:top w:w="0" w:type="dxa"/>
            <w:left w:w="108" w:type="dxa"/>
            <w:bottom w:w="0" w:type="dxa"/>
            <w:right w:w="108" w:type="dxa"/>
          </w:tblCellMar>
        </w:tblPrEx>
        <w:trPr>
          <w:trHeight w:val="980" w:hRule="exact"/>
        </w:trPr>
        <w:tc>
          <w:tcPr>
            <w:tcW w:w="437" w:type="dxa"/>
            <w:tcBorders>
              <w:top w:val="single" w:color="000000" w:sz="2" w:space="0"/>
              <w:left w:val="single" w:color="000000" w:sz="1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r>
              <w:rPr>
                <w:rFonts w:hint="eastAsia" w:ascii="宋体" w:hAnsi="宋体" w:cs="宋体"/>
                <w:color w:val="auto"/>
                <w:kern w:val="1"/>
                <w:sz w:val="22"/>
                <w:szCs w:val="22"/>
                <w:highlight w:val="none"/>
              </w:rPr>
              <w:t>5</w:t>
            </w:r>
          </w:p>
        </w:tc>
        <w:tc>
          <w:tcPr>
            <w:tcW w:w="3254"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color w:val="auto"/>
                <w:kern w:val="1"/>
                <w:sz w:val="22"/>
                <w:szCs w:val="22"/>
                <w:highlight w:val="none"/>
              </w:rPr>
            </w:pPr>
            <w:r>
              <w:rPr>
                <w:rFonts w:ascii="宋体" w:hAnsi="宋体" w:cs="宋体"/>
                <w:color w:val="auto"/>
                <w:kern w:val="1"/>
                <w:sz w:val="22"/>
                <w:szCs w:val="22"/>
                <w:highlight w:val="none"/>
              </w:rPr>
              <w:t>至最终目的地的运费、保险费</w:t>
            </w:r>
          </w:p>
        </w:tc>
        <w:tc>
          <w:tcPr>
            <w:tcW w:w="6161" w:type="dxa"/>
            <w:gridSpan w:val="6"/>
            <w:tcBorders>
              <w:top w:val="single" w:color="000000" w:sz="2" w:space="0"/>
              <w:left w:val="single" w:color="000000" w:sz="2" w:space="0"/>
              <w:bottom w:val="single" w:color="000000" w:sz="2" w:space="0"/>
              <w:right w:val="single" w:color="000000" w:sz="12" w:space="0"/>
            </w:tcBorders>
            <w:vAlign w:val="center"/>
          </w:tcPr>
          <w:p>
            <w:pPr>
              <w:spacing w:line="400" w:lineRule="exact"/>
              <w:jc w:val="center"/>
              <w:rPr>
                <w:rFonts w:ascii="宋体" w:hAnsi="宋体" w:cs="宋体"/>
                <w:color w:val="auto"/>
                <w:kern w:val="1"/>
                <w:sz w:val="22"/>
                <w:szCs w:val="22"/>
                <w:highlight w:val="none"/>
              </w:rPr>
            </w:pPr>
            <w:r>
              <w:rPr>
                <w:rFonts w:hint="eastAsia" w:ascii="宋体" w:hAnsi="宋体" w:cs="宋体"/>
                <w:color w:val="auto"/>
                <w:kern w:val="1"/>
                <w:sz w:val="22"/>
                <w:szCs w:val="22"/>
                <w:highlight w:val="none"/>
              </w:rPr>
              <w:t>含</w:t>
            </w:r>
          </w:p>
        </w:tc>
      </w:tr>
      <w:tr>
        <w:tblPrEx>
          <w:tblCellMar>
            <w:top w:w="0" w:type="dxa"/>
            <w:left w:w="108" w:type="dxa"/>
            <w:bottom w:w="0" w:type="dxa"/>
            <w:right w:w="108" w:type="dxa"/>
          </w:tblCellMar>
        </w:tblPrEx>
        <w:trPr>
          <w:trHeight w:val="724" w:hRule="exact"/>
        </w:trPr>
        <w:tc>
          <w:tcPr>
            <w:tcW w:w="437" w:type="dxa"/>
            <w:tcBorders>
              <w:top w:val="single" w:color="000000" w:sz="2" w:space="0"/>
              <w:left w:val="single" w:color="000000" w:sz="12" w:space="0"/>
              <w:bottom w:val="single" w:color="000000" w:sz="2" w:space="0"/>
              <w:right w:val="single" w:color="000000" w:sz="2" w:space="0"/>
            </w:tcBorders>
            <w:vAlign w:val="center"/>
          </w:tcPr>
          <w:p>
            <w:pPr>
              <w:spacing w:line="400" w:lineRule="exact"/>
              <w:jc w:val="center"/>
              <w:rPr>
                <w:rFonts w:ascii="宋体" w:hAnsi="宋体" w:cs="宋体"/>
                <w:color w:val="auto"/>
                <w:kern w:val="1"/>
                <w:sz w:val="22"/>
                <w:szCs w:val="22"/>
                <w:highlight w:val="none"/>
              </w:rPr>
            </w:pPr>
            <w:r>
              <w:rPr>
                <w:rFonts w:hint="eastAsia" w:ascii="宋体" w:hAnsi="宋体" w:cs="宋体"/>
                <w:color w:val="auto"/>
                <w:kern w:val="1"/>
                <w:sz w:val="22"/>
                <w:szCs w:val="22"/>
                <w:highlight w:val="none"/>
              </w:rPr>
              <w:t>6</w:t>
            </w:r>
          </w:p>
        </w:tc>
        <w:tc>
          <w:tcPr>
            <w:tcW w:w="3254"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color w:val="auto"/>
                <w:kern w:val="1"/>
                <w:sz w:val="22"/>
                <w:szCs w:val="22"/>
                <w:highlight w:val="none"/>
              </w:rPr>
            </w:pPr>
            <w:r>
              <w:rPr>
                <w:rFonts w:ascii="宋体" w:hAnsi="宋体" w:cs="宋体"/>
                <w:color w:val="auto"/>
                <w:kern w:val="1"/>
                <w:sz w:val="22"/>
                <w:szCs w:val="22"/>
                <w:highlight w:val="none"/>
              </w:rPr>
              <w:t>其它</w:t>
            </w:r>
            <w:r>
              <w:rPr>
                <w:rFonts w:hint="eastAsia" w:ascii="宋体" w:hAnsi="宋体" w:cs="宋体"/>
                <w:color w:val="auto"/>
                <w:kern w:val="1"/>
                <w:sz w:val="22"/>
                <w:szCs w:val="22"/>
                <w:highlight w:val="none"/>
              </w:rPr>
              <w:t>（代理费）</w:t>
            </w:r>
          </w:p>
        </w:tc>
        <w:tc>
          <w:tcPr>
            <w:tcW w:w="6161" w:type="dxa"/>
            <w:gridSpan w:val="6"/>
            <w:tcBorders>
              <w:top w:val="single" w:color="000000" w:sz="2" w:space="0"/>
              <w:left w:val="single" w:color="000000" w:sz="2" w:space="0"/>
              <w:bottom w:val="single" w:color="000000" w:sz="2" w:space="0"/>
              <w:right w:val="single" w:color="000000" w:sz="12" w:space="0"/>
            </w:tcBorders>
            <w:vAlign w:val="center"/>
          </w:tcPr>
          <w:p>
            <w:pPr>
              <w:spacing w:line="400" w:lineRule="exact"/>
              <w:jc w:val="center"/>
              <w:rPr>
                <w:rFonts w:ascii="宋体" w:hAnsi="宋体" w:cs="宋体"/>
                <w:color w:val="auto"/>
                <w:kern w:val="1"/>
                <w:sz w:val="22"/>
                <w:szCs w:val="22"/>
                <w:highlight w:val="none"/>
              </w:rPr>
            </w:pPr>
            <w:r>
              <w:rPr>
                <w:rFonts w:hint="eastAsia" w:ascii="宋体" w:hAnsi="宋体" w:cs="宋体"/>
                <w:color w:val="auto"/>
                <w:kern w:val="1"/>
                <w:sz w:val="22"/>
                <w:szCs w:val="22"/>
                <w:highlight w:val="none"/>
              </w:rPr>
              <w:t>含</w:t>
            </w:r>
          </w:p>
        </w:tc>
      </w:tr>
      <w:tr>
        <w:tblPrEx>
          <w:tblCellMar>
            <w:top w:w="0" w:type="dxa"/>
            <w:left w:w="108" w:type="dxa"/>
            <w:bottom w:w="0" w:type="dxa"/>
            <w:right w:w="108" w:type="dxa"/>
          </w:tblCellMar>
        </w:tblPrEx>
        <w:trPr>
          <w:trHeight w:val="724" w:hRule="exact"/>
        </w:trPr>
        <w:tc>
          <w:tcPr>
            <w:tcW w:w="3691" w:type="dxa"/>
            <w:gridSpan w:val="2"/>
            <w:tcBorders>
              <w:top w:val="single" w:color="000000" w:sz="2" w:space="0"/>
              <w:left w:val="single" w:color="000000" w:sz="12" w:space="0"/>
              <w:bottom w:val="single" w:color="000000" w:sz="12" w:space="0"/>
              <w:right w:val="single" w:color="000000" w:sz="2" w:space="0"/>
            </w:tcBorders>
            <w:vAlign w:val="center"/>
          </w:tcPr>
          <w:p>
            <w:pPr>
              <w:spacing w:line="400" w:lineRule="exact"/>
              <w:rPr>
                <w:rFonts w:ascii="宋体" w:hAnsi="宋体" w:cs="宋体"/>
                <w:color w:val="auto"/>
                <w:kern w:val="1"/>
                <w:sz w:val="22"/>
                <w:szCs w:val="22"/>
                <w:highlight w:val="none"/>
              </w:rPr>
            </w:pPr>
            <w:r>
              <w:rPr>
                <w:rFonts w:ascii="宋体" w:hAnsi="宋体" w:cs="宋体"/>
                <w:color w:val="auto"/>
                <w:kern w:val="1"/>
                <w:sz w:val="22"/>
                <w:szCs w:val="22"/>
                <w:highlight w:val="none"/>
              </w:rPr>
              <w:t>总    计   价（元）</w:t>
            </w:r>
          </w:p>
        </w:tc>
        <w:tc>
          <w:tcPr>
            <w:tcW w:w="6161" w:type="dxa"/>
            <w:gridSpan w:val="6"/>
            <w:tcBorders>
              <w:top w:val="single" w:color="000000" w:sz="2" w:space="0"/>
              <w:left w:val="single" w:color="000000" w:sz="2" w:space="0"/>
              <w:bottom w:val="single" w:color="000000" w:sz="12" w:space="0"/>
              <w:right w:val="single" w:color="000000" w:sz="12" w:space="0"/>
            </w:tcBorders>
            <w:vAlign w:val="center"/>
          </w:tcPr>
          <w:p>
            <w:pPr>
              <w:spacing w:line="400" w:lineRule="exact"/>
              <w:jc w:val="center"/>
              <w:rPr>
                <w:rFonts w:ascii="宋体" w:hAnsi="宋体" w:cs="宋体"/>
                <w:color w:val="auto"/>
                <w:kern w:val="1"/>
                <w:sz w:val="22"/>
                <w:szCs w:val="22"/>
                <w:highlight w:val="none"/>
              </w:rPr>
            </w:pPr>
          </w:p>
        </w:tc>
      </w:tr>
    </w:tbl>
    <w:p>
      <w:pPr>
        <w:spacing w:line="380" w:lineRule="exact"/>
        <w:rPr>
          <w:rFonts w:ascii="新宋体" w:hAnsi="新宋体" w:eastAsia="新宋体" w:cs="新宋体"/>
          <w:color w:val="auto"/>
          <w:sz w:val="22"/>
          <w:szCs w:val="22"/>
          <w:highlight w:val="none"/>
        </w:rPr>
      </w:pPr>
    </w:p>
    <w:p>
      <w:pPr>
        <w:spacing w:line="38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说明：</w:t>
      </w:r>
    </w:p>
    <w:p>
      <w:pPr>
        <w:numPr>
          <w:ilvl w:val="0"/>
          <w:numId w:val="12"/>
        </w:numPr>
        <w:spacing w:line="38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投标分项报价表内总计价应与附件二中“开标一览表”投标总价相一致。</w:t>
      </w:r>
    </w:p>
    <w:p>
      <w:pPr>
        <w:numPr>
          <w:ilvl w:val="0"/>
          <w:numId w:val="12"/>
        </w:numPr>
        <w:spacing w:line="38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不提供此表的报价，视为没有实质性响应采购文件要求，如已包含在其他报价中填（含）。</w:t>
      </w:r>
    </w:p>
    <w:p>
      <w:pPr>
        <w:numPr>
          <w:ilvl w:val="0"/>
          <w:numId w:val="12"/>
        </w:numPr>
        <w:spacing w:line="38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本表可在不改变主要格式的情况下根据具体需要自行调整。</w:t>
      </w:r>
    </w:p>
    <w:p>
      <w:pPr>
        <w:spacing w:line="380" w:lineRule="exact"/>
        <w:rPr>
          <w:rFonts w:ascii="新宋体" w:hAnsi="新宋体" w:eastAsia="新宋体" w:cs="新宋体"/>
          <w:color w:val="auto"/>
          <w:sz w:val="22"/>
          <w:highlight w:val="none"/>
        </w:rPr>
      </w:pPr>
    </w:p>
    <w:p>
      <w:pPr>
        <w:spacing w:line="38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投标人全称（盖章）：</w:t>
      </w:r>
    </w:p>
    <w:p>
      <w:pPr>
        <w:spacing w:line="38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法定代表人或授权代表（签名）：</w:t>
      </w:r>
    </w:p>
    <w:p>
      <w:pPr>
        <w:overflowPunct w:val="0"/>
        <w:spacing w:line="380" w:lineRule="exact"/>
        <w:rPr>
          <w:rFonts w:ascii="新宋体" w:hAnsi="新宋体" w:eastAsia="新宋体" w:cs="新宋体"/>
          <w:b/>
          <w:bCs/>
          <w:color w:val="auto"/>
          <w:sz w:val="22"/>
          <w:szCs w:val="22"/>
          <w:highlight w:val="none"/>
        </w:rPr>
      </w:pPr>
      <w:r>
        <w:rPr>
          <w:rFonts w:hint="eastAsia" w:ascii="新宋体" w:hAnsi="新宋体" w:eastAsia="新宋体" w:cs="新宋体"/>
          <w:color w:val="auto"/>
          <w:sz w:val="22"/>
          <w:szCs w:val="22"/>
          <w:highlight w:val="none"/>
        </w:rPr>
        <w:t>日 期：  年  月  日</w:t>
      </w:r>
    </w:p>
    <w:p>
      <w:pPr>
        <w:pStyle w:val="3"/>
        <w:rPr>
          <w:rFonts w:ascii="新宋体" w:hAnsi="新宋体" w:eastAsia="新宋体" w:cs="新宋体"/>
          <w:color w:val="auto"/>
          <w:sz w:val="36"/>
          <w:szCs w:val="36"/>
          <w:highlight w:val="none"/>
        </w:rPr>
      </w:pPr>
      <w:r>
        <w:rPr>
          <w:rFonts w:hint="eastAsia" w:ascii="新宋体" w:hAnsi="新宋体" w:eastAsia="新宋体" w:cs="新宋体"/>
          <w:color w:val="auto"/>
          <w:sz w:val="22"/>
          <w:szCs w:val="22"/>
          <w:highlight w:val="none"/>
        </w:rPr>
        <w:br w:type="page"/>
      </w:r>
      <w:bookmarkStart w:id="112" w:name="_Toc24174"/>
      <w:bookmarkStart w:id="113" w:name="_Toc71374680"/>
      <w:r>
        <w:rPr>
          <w:rFonts w:hint="eastAsia" w:ascii="新宋体" w:hAnsi="新宋体" w:eastAsia="新宋体" w:cs="新宋体"/>
          <w:color w:val="auto"/>
          <w:sz w:val="36"/>
          <w:szCs w:val="36"/>
          <w:highlight w:val="none"/>
        </w:rPr>
        <w:t>第四部分   采购内容及要求</w:t>
      </w:r>
      <w:bookmarkEnd w:id="112"/>
      <w:bookmarkEnd w:id="113"/>
    </w:p>
    <w:p>
      <w:pPr>
        <w:spacing w:line="360" w:lineRule="auto"/>
        <w:ind w:firstLine="440" w:firstLineChars="200"/>
        <w:rPr>
          <w:rFonts w:ascii="宋体" w:hAnsi="宋体" w:cs="宋体"/>
          <w:color w:val="auto"/>
          <w:sz w:val="22"/>
          <w:szCs w:val="22"/>
          <w:highlight w:val="none"/>
        </w:rPr>
      </w:pPr>
    </w:p>
    <w:p>
      <w:pPr>
        <w:autoSpaceDE w:val="0"/>
        <w:autoSpaceDN w:val="0"/>
        <w:adjustRightInd w:val="0"/>
        <w:snapToGrid w:val="0"/>
        <w:spacing w:line="360" w:lineRule="auto"/>
        <w:textAlignment w:val="bottom"/>
        <w:rPr>
          <w:rFonts w:hint="eastAsia" w:ascii="宋体" w:hAnsi="宋体" w:eastAsia="宋体" w:cs="宋体"/>
          <w:b/>
          <w:color w:val="auto"/>
          <w:sz w:val="22"/>
          <w:szCs w:val="22"/>
          <w:highlight w:val="none"/>
        </w:rPr>
      </w:pPr>
      <w:bookmarkStart w:id="114" w:name="_Toc239145361"/>
      <w:bookmarkStart w:id="115" w:name="_Toc222114886"/>
      <w:bookmarkStart w:id="116" w:name="_Toc221374633"/>
      <w:bookmarkStart w:id="117" w:name="_Toc221356897"/>
      <w:bookmarkStart w:id="118" w:name="_Toc71374681"/>
      <w:bookmarkStart w:id="119" w:name="_Toc265529390"/>
      <w:bookmarkStart w:id="120" w:name="_Toc223716005"/>
      <w:bookmarkStart w:id="121" w:name="_Toc221423626"/>
      <w:bookmarkStart w:id="122" w:name="_Toc241404209"/>
      <w:bookmarkStart w:id="123" w:name="_Toc221356960"/>
      <w:r>
        <w:rPr>
          <w:rFonts w:hint="eastAsia" w:ascii="宋体" w:hAnsi="宋体" w:eastAsia="宋体" w:cs="宋体"/>
          <w:b/>
          <w:color w:val="auto"/>
          <w:sz w:val="22"/>
          <w:szCs w:val="22"/>
          <w:highlight w:val="none"/>
        </w:rPr>
        <w:t>一、总述</w:t>
      </w:r>
    </w:p>
    <w:p>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现场勘察：投标人于投标截止时间前自行进行现场踏勘等活动，以获取本次投标所需的现场资料及数据，投标人若未到现场踏勘，引起的一切后果均由其自行负责，由此造成投标价的偏差均不予调整。现场踏勘费用自理。</w:t>
      </w:r>
    </w:p>
    <w:p>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2、投标供应商必须根据自己的综合优势对此项目的全部内容进行投标，不得只投其中一部分内容。</w:t>
      </w:r>
    </w:p>
    <w:p>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3、技术要求及标准的执行</w:t>
      </w:r>
    </w:p>
    <w:p>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供应商提供的产品应标明所执行的质量标准，若同一标准已颁发新标准，则按最新标准执行。若同一产品同时有几个标准（国际标准、国家标准、行业标准、企业标准等），则按最高层次的标准执行。</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4、供应商须按国家有关规定及标准完成本次采购产品的供货、运输、装卸、就位、技术培训、检验、通过有关部门验收等各项工作，并保证投标产品使用的安全性能与检测结果的可靠性。如中标，中标供应商及投标供应商对中标产品使用的安全性能与可靠性负全部责任。中标供应商须随产品提供说明书。供应商提供相关数据与说明，投标文件须对下列要求作出实质性回应。</w:t>
      </w:r>
    </w:p>
    <w:p>
      <w:pPr>
        <w:spacing w:before="120" w:beforeLines="50" w:after="120" w:afterLines="50"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二、采购内容及要求</w:t>
      </w:r>
    </w:p>
    <w:p>
      <w:pPr>
        <w:spacing w:line="360" w:lineRule="auto"/>
        <w:ind w:firstLine="221" w:firstLineChars="100"/>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1、采购清单</w:t>
      </w:r>
    </w:p>
    <w:tbl>
      <w:tblPr>
        <w:tblStyle w:val="18"/>
        <w:tblW w:w="951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09"/>
        <w:gridCol w:w="2513"/>
        <w:gridCol w:w="3367"/>
        <w:gridCol w:w="1248"/>
        <w:gridCol w:w="1680"/>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5" w:hRule="atLeast"/>
          <w:tblHeader/>
          <w:jc w:val="center"/>
        </w:trPr>
        <w:tc>
          <w:tcPr>
            <w:tcW w:w="709" w:type="dxa"/>
            <w:shd w:val="clear" w:color="5B9BD5" w:fill="5B9BD5"/>
            <w:vAlign w:val="center"/>
          </w:tcPr>
          <w:p>
            <w:pPr>
              <w:spacing w:before="60" w:after="60" w:line="300" w:lineRule="exact"/>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kern w:val="0"/>
                <w:sz w:val="22"/>
                <w:szCs w:val="22"/>
                <w:highlight w:val="none"/>
              </w:rPr>
              <w:t>序号</w:t>
            </w:r>
          </w:p>
        </w:tc>
        <w:tc>
          <w:tcPr>
            <w:tcW w:w="2513" w:type="dxa"/>
            <w:shd w:val="clear" w:color="5B9BD5" w:fill="5B9BD5"/>
            <w:vAlign w:val="center"/>
          </w:tcPr>
          <w:p>
            <w:pPr>
              <w:spacing w:before="60" w:after="60" w:line="300" w:lineRule="exact"/>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kern w:val="0"/>
                <w:sz w:val="22"/>
                <w:szCs w:val="22"/>
                <w:highlight w:val="none"/>
              </w:rPr>
              <w:t>名称（类型）</w:t>
            </w:r>
          </w:p>
        </w:tc>
        <w:tc>
          <w:tcPr>
            <w:tcW w:w="3367" w:type="dxa"/>
            <w:shd w:val="clear" w:color="5B9BD5" w:fill="5B9BD5"/>
            <w:vAlign w:val="center"/>
          </w:tcPr>
          <w:p>
            <w:pPr>
              <w:jc w:val="center"/>
              <w:rPr>
                <w:rFonts w:hint="eastAsia" w:ascii="宋体" w:hAnsi="宋体" w:eastAsia="宋体" w:cs="宋体"/>
                <w:b/>
                <w:bCs/>
                <w:color w:val="auto"/>
                <w:kern w:val="0"/>
                <w:sz w:val="22"/>
                <w:szCs w:val="22"/>
                <w:highlight w:val="none"/>
                <w:lang w:val="en-US" w:eastAsia="zh-CN"/>
              </w:rPr>
            </w:pPr>
            <w:r>
              <w:rPr>
                <w:rFonts w:hint="eastAsia" w:ascii="宋体" w:hAnsi="宋体" w:eastAsia="宋体" w:cs="宋体"/>
                <w:b/>
                <w:bCs/>
                <w:snapToGrid w:val="0"/>
                <w:color w:val="auto"/>
                <w:spacing w:val="0"/>
                <w:kern w:val="0"/>
                <w:sz w:val="22"/>
                <w:szCs w:val="22"/>
                <w:highlight w:val="none"/>
              </w:rPr>
              <w:t>设计技术指标及参数</w:t>
            </w:r>
          </w:p>
        </w:tc>
        <w:tc>
          <w:tcPr>
            <w:tcW w:w="1248" w:type="dxa"/>
            <w:shd w:val="clear" w:color="5B9BD5" w:fill="5B9BD5"/>
            <w:vAlign w:val="center"/>
          </w:tcPr>
          <w:p>
            <w:pPr>
              <w:spacing w:before="60" w:after="60" w:line="300" w:lineRule="exact"/>
              <w:jc w:val="center"/>
              <w:textAlignment w:val="center"/>
              <w:rPr>
                <w:rFonts w:hint="eastAsia" w:ascii="宋体" w:hAnsi="宋体" w:eastAsia="宋体" w:cs="宋体"/>
                <w:b/>
                <w:bCs/>
                <w:color w:val="auto"/>
                <w:kern w:val="0"/>
                <w:sz w:val="22"/>
                <w:szCs w:val="22"/>
                <w:highlight w:val="none"/>
                <w:lang w:eastAsia="zh-CN"/>
              </w:rPr>
            </w:pPr>
            <w:r>
              <w:rPr>
                <w:rFonts w:hint="eastAsia" w:ascii="宋体" w:hAnsi="宋体" w:eastAsia="宋体" w:cs="宋体"/>
                <w:b/>
                <w:bCs/>
                <w:color w:val="auto"/>
                <w:kern w:val="0"/>
                <w:sz w:val="22"/>
                <w:szCs w:val="22"/>
                <w:highlight w:val="none"/>
                <w:lang w:val="en-US" w:eastAsia="zh-CN"/>
              </w:rPr>
              <w:t>数量</w:t>
            </w:r>
          </w:p>
        </w:tc>
        <w:tc>
          <w:tcPr>
            <w:tcW w:w="1680" w:type="dxa"/>
            <w:shd w:val="clear" w:color="5B9BD5" w:fill="5B9BD5"/>
            <w:vAlign w:val="center"/>
          </w:tcPr>
          <w:p>
            <w:pPr>
              <w:spacing w:before="60" w:after="60" w:line="300" w:lineRule="exact"/>
              <w:jc w:val="center"/>
              <w:textAlignment w:val="center"/>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备注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60" w:hRule="atLeast"/>
          <w:jc w:val="center"/>
        </w:trPr>
        <w:tc>
          <w:tcPr>
            <w:tcW w:w="709" w:type="dxa"/>
            <w:shd w:val="clear" w:color="auto" w:fill="DEEAF6" w:themeFill="accent1" w:themeFillTint="33"/>
            <w:vAlign w:val="center"/>
          </w:tcPr>
          <w:p>
            <w:pPr>
              <w:spacing w:before="60" w:after="60" w:line="300" w:lineRule="exact"/>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1</w:t>
            </w:r>
          </w:p>
        </w:tc>
        <w:tc>
          <w:tcPr>
            <w:tcW w:w="2513" w:type="dxa"/>
            <w:shd w:val="clear" w:color="auto" w:fill="DEEAF6" w:themeFill="accent1" w:themeFillTint="33"/>
            <w:vAlign w:val="center"/>
          </w:tcPr>
          <w:p>
            <w:pPr>
              <w:spacing w:before="60" w:after="60" w:line="300" w:lineRule="exact"/>
              <w:jc w:val="center"/>
              <w:textAlignment w:val="center"/>
              <w:rPr>
                <w:rFonts w:hint="eastAsia" w:ascii="宋体" w:hAnsi="宋体" w:eastAsia="宋体" w:cs="宋体"/>
                <w:color w:val="auto"/>
                <w:sz w:val="22"/>
                <w:szCs w:val="22"/>
                <w:highlight w:val="none"/>
                <w:lang w:val="en-US"/>
              </w:rPr>
            </w:pPr>
            <w:r>
              <w:rPr>
                <w:rFonts w:hint="eastAsia" w:ascii="宋体" w:hAnsi="宋体" w:eastAsia="宋体" w:cs="宋体"/>
                <w:color w:val="auto"/>
                <w:spacing w:val="10"/>
                <w:sz w:val="22"/>
                <w:szCs w:val="22"/>
                <w:highlight w:val="none"/>
                <w:lang w:eastAsia="zh-CN"/>
              </w:rPr>
              <w:t>铣刨料破碎筛分</w:t>
            </w:r>
            <w:r>
              <w:rPr>
                <w:rFonts w:hint="eastAsia" w:ascii="宋体" w:hAnsi="宋体" w:eastAsia="宋体" w:cs="宋体"/>
                <w:color w:val="auto"/>
                <w:spacing w:val="10"/>
                <w:sz w:val="22"/>
                <w:szCs w:val="22"/>
                <w:highlight w:val="none"/>
                <w:lang w:val="en-US" w:eastAsia="zh-CN"/>
              </w:rPr>
              <w:t>设备</w:t>
            </w:r>
          </w:p>
        </w:tc>
        <w:tc>
          <w:tcPr>
            <w:tcW w:w="3367" w:type="dxa"/>
            <w:shd w:val="clear" w:color="auto" w:fill="DEEAF6" w:themeFill="accent1" w:themeFillTint="33"/>
            <w:vAlign w:val="center"/>
          </w:tcPr>
          <w:p>
            <w:pPr>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rPr>
              <w:t>原料粒径≤100mm，产量应≥100t/h，破碎筛分为2档成品料</w:t>
            </w:r>
            <w:r>
              <w:rPr>
                <w:rFonts w:hint="eastAsia" w:ascii="宋体" w:hAnsi="宋体" w:cs="宋体"/>
                <w:snapToGrid w:val="0"/>
                <w:color w:val="auto"/>
                <w:spacing w:val="0"/>
                <w:kern w:val="0"/>
                <w:sz w:val="22"/>
                <w:szCs w:val="22"/>
                <w:highlight w:val="none"/>
                <w:lang w:eastAsia="zh-CN"/>
              </w:rPr>
              <w:t>。</w:t>
            </w:r>
          </w:p>
        </w:tc>
        <w:tc>
          <w:tcPr>
            <w:tcW w:w="1248" w:type="dxa"/>
            <w:shd w:val="clear" w:color="auto" w:fill="DEEAF6" w:themeFill="accent1" w:themeFillTint="33"/>
            <w:vAlign w:val="center"/>
          </w:tcPr>
          <w:p>
            <w:pPr>
              <w:spacing w:before="60" w:after="60" w:line="300" w:lineRule="exact"/>
              <w:jc w:val="center"/>
              <w:textAlignment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1套</w:t>
            </w:r>
          </w:p>
        </w:tc>
        <w:tc>
          <w:tcPr>
            <w:tcW w:w="1680" w:type="dxa"/>
            <w:shd w:val="clear" w:color="auto" w:fill="DEEAF6" w:themeFill="accent1" w:themeFillTint="33"/>
            <w:vAlign w:val="center"/>
          </w:tcPr>
          <w:p>
            <w:pPr>
              <w:spacing w:before="60" w:after="60" w:line="300" w:lineRule="exact"/>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w:t>
            </w:r>
          </w:p>
        </w:tc>
      </w:tr>
    </w:tbl>
    <w:p>
      <w:pPr>
        <w:spacing w:line="360" w:lineRule="auto"/>
        <w:ind w:firstLine="221" w:firstLineChars="100"/>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2、</w:t>
      </w:r>
      <w:r>
        <w:rPr>
          <w:rFonts w:hint="eastAsia" w:ascii="宋体" w:hAnsi="宋体" w:eastAsia="宋体" w:cs="宋体"/>
          <w:b/>
          <w:bCs/>
          <w:color w:val="auto"/>
          <w:sz w:val="22"/>
          <w:szCs w:val="22"/>
          <w:highlight w:val="none"/>
        </w:rPr>
        <w:t>主要技术规格和要求</w:t>
      </w:r>
    </w:p>
    <w:p>
      <w:pPr>
        <w:spacing w:line="360" w:lineRule="auto"/>
        <w:ind w:firstLine="442" w:firstLineChars="200"/>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2.1</w:t>
      </w:r>
      <w:r>
        <w:rPr>
          <w:rFonts w:hint="eastAsia" w:ascii="宋体" w:hAnsi="宋体" w:eastAsia="宋体" w:cs="宋体"/>
          <w:b/>
          <w:bCs/>
          <w:color w:val="auto"/>
          <w:sz w:val="22"/>
          <w:szCs w:val="22"/>
          <w:highlight w:val="none"/>
        </w:rPr>
        <w:t>适用范围：适用于沥青再生料的破碎筛分，原材料为市政道路的铣刨料</w:t>
      </w:r>
    </w:p>
    <w:p>
      <w:pPr>
        <w:spacing w:line="360" w:lineRule="auto"/>
        <w:ind w:firstLine="440" w:firstLineChars="200"/>
        <w:rPr>
          <w:rFonts w:hint="eastAsia" w:ascii="宋体" w:hAnsi="宋体" w:eastAsia="宋体" w:cs="宋体"/>
          <w:snapToGrid w:val="0"/>
          <w:color w:val="auto"/>
          <w:spacing w:val="0"/>
          <w:kern w:val="0"/>
          <w:sz w:val="22"/>
          <w:szCs w:val="22"/>
          <w:highlight w:val="none"/>
        </w:rPr>
      </w:pPr>
      <w:r>
        <w:rPr>
          <w:rFonts w:hint="eastAsia" w:ascii="宋体" w:hAnsi="宋体" w:eastAsia="宋体" w:cs="宋体"/>
          <w:color w:val="auto"/>
          <w:sz w:val="22"/>
          <w:szCs w:val="22"/>
          <w:highlight w:val="none"/>
          <w:lang w:val="en-US" w:eastAsia="zh-CN"/>
        </w:rPr>
        <w:t>2.2</w:t>
      </w:r>
      <w:r>
        <w:rPr>
          <w:rFonts w:hint="eastAsia" w:ascii="宋体" w:hAnsi="宋体" w:eastAsia="宋体" w:cs="宋体"/>
          <w:color w:val="auto"/>
          <w:sz w:val="22"/>
          <w:szCs w:val="22"/>
          <w:highlight w:val="none"/>
        </w:rPr>
        <w:t>工作环境</w:t>
      </w:r>
      <w:r>
        <w:rPr>
          <w:rFonts w:hint="eastAsia" w:ascii="宋体" w:hAnsi="宋体" w:eastAsia="宋体" w:cs="宋体"/>
          <w:color w:val="auto"/>
          <w:sz w:val="22"/>
          <w:szCs w:val="22"/>
          <w:highlight w:val="none"/>
          <w:lang w:eastAsia="zh-CN"/>
        </w:rPr>
        <w:t>：</w:t>
      </w:r>
      <w:r>
        <w:rPr>
          <w:rFonts w:hint="eastAsia" w:ascii="宋体" w:hAnsi="宋体" w:eastAsia="宋体" w:cs="宋体"/>
          <w:snapToGrid w:val="0"/>
          <w:color w:val="auto"/>
          <w:spacing w:val="0"/>
          <w:kern w:val="0"/>
          <w:sz w:val="22"/>
          <w:szCs w:val="22"/>
          <w:highlight w:val="none"/>
        </w:rPr>
        <w:t>工地海拔：≤1000 m；环境温度：-10℃～50℃；相对湿度：≤100%</w:t>
      </w:r>
    </w:p>
    <w:p>
      <w:pPr>
        <w:spacing w:line="360" w:lineRule="auto"/>
        <w:ind w:firstLine="442" w:firstLineChars="200"/>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2.3</w:t>
      </w:r>
      <w:r>
        <w:rPr>
          <w:rFonts w:hint="eastAsia" w:ascii="宋体" w:hAnsi="宋体" w:eastAsia="宋体" w:cs="宋体"/>
          <w:b/>
          <w:bCs/>
          <w:color w:val="auto"/>
          <w:sz w:val="22"/>
          <w:szCs w:val="22"/>
          <w:highlight w:val="none"/>
        </w:rPr>
        <w:t>设备配置要求</w:t>
      </w:r>
    </w:p>
    <w:p>
      <w:pPr>
        <w:numPr>
          <w:ilvl w:val="0"/>
          <w:numId w:val="0"/>
        </w:numPr>
        <w:tabs>
          <w:tab w:val="left" w:pos="758"/>
        </w:tabs>
        <w:snapToGrid w:val="0"/>
        <w:spacing w:line="360" w:lineRule="auto"/>
        <w:ind w:leftChars="100"/>
        <w:rPr>
          <w:rFonts w:hint="eastAsia" w:ascii="宋体" w:hAnsi="宋体" w:eastAsia="宋体" w:cs="宋体"/>
          <w:snapToGrid w:val="0"/>
          <w:color w:val="auto"/>
          <w:spacing w:val="0"/>
          <w:kern w:val="0"/>
          <w:sz w:val="22"/>
          <w:szCs w:val="22"/>
          <w:highlight w:val="none"/>
          <w:lang w:eastAsia="zh-CN"/>
        </w:rPr>
      </w:pPr>
      <w:r>
        <w:rPr>
          <w:rFonts w:hint="eastAsia" w:ascii="宋体" w:hAnsi="宋体" w:eastAsia="宋体" w:cs="宋体"/>
          <w:snapToGrid w:val="0"/>
          <w:color w:val="auto"/>
          <w:spacing w:val="0"/>
          <w:kern w:val="0"/>
          <w:sz w:val="22"/>
          <w:szCs w:val="22"/>
          <w:highlight w:val="none"/>
          <w:lang w:eastAsia="zh-CN"/>
        </w:rPr>
        <w:t>（</w:t>
      </w:r>
      <w:r>
        <w:rPr>
          <w:rFonts w:hint="eastAsia" w:ascii="宋体" w:hAnsi="宋体" w:eastAsia="宋体" w:cs="宋体"/>
          <w:snapToGrid w:val="0"/>
          <w:color w:val="auto"/>
          <w:spacing w:val="0"/>
          <w:kern w:val="0"/>
          <w:sz w:val="22"/>
          <w:szCs w:val="22"/>
          <w:highlight w:val="none"/>
          <w:lang w:val="en-US" w:eastAsia="zh-CN"/>
        </w:rPr>
        <w:t>1</w:t>
      </w:r>
      <w:r>
        <w:rPr>
          <w:rFonts w:hint="eastAsia" w:ascii="宋体" w:hAnsi="宋体" w:eastAsia="宋体" w:cs="宋体"/>
          <w:snapToGrid w:val="0"/>
          <w:color w:val="auto"/>
          <w:spacing w:val="0"/>
          <w:kern w:val="0"/>
          <w:sz w:val="22"/>
          <w:szCs w:val="22"/>
          <w:highlight w:val="none"/>
          <w:lang w:eastAsia="zh-CN"/>
        </w:rPr>
        <w:t>）基本构成</w:t>
      </w:r>
    </w:p>
    <w:p>
      <w:pPr>
        <w:numPr>
          <w:ilvl w:val="0"/>
          <w:numId w:val="0"/>
        </w:numPr>
        <w:tabs>
          <w:tab w:val="left" w:pos="758"/>
        </w:tabs>
        <w:snapToGrid w:val="0"/>
        <w:spacing w:line="360" w:lineRule="auto"/>
        <w:ind w:leftChars="100"/>
        <w:rPr>
          <w:rFonts w:hint="eastAsia" w:ascii="宋体" w:hAnsi="宋体" w:eastAsia="宋体" w:cs="宋体"/>
          <w:snapToGrid w:val="0"/>
          <w:color w:val="auto"/>
          <w:spacing w:val="0"/>
          <w:kern w:val="0"/>
          <w:sz w:val="22"/>
          <w:szCs w:val="22"/>
          <w:highlight w:val="none"/>
          <w:lang w:eastAsia="zh-CN"/>
        </w:rPr>
      </w:pPr>
      <w:r>
        <w:rPr>
          <w:rFonts w:hint="eastAsia" w:ascii="宋体" w:hAnsi="宋体" w:eastAsia="宋体" w:cs="宋体"/>
          <w:snapToGrid w:val="0"/>
          <w:color w:val="auto"/>
          <w:spacing w:val="0"/>
          <w:kern w:val="0"/>
          <w:sz w:val="22"/>
          <w:szCs w:val="22"/>
          <w:highlight w:val="none"/>
          <w:lang w:val="en-US" w:eastAsia="zh-CN"/>
        </w:rPr>
        <w:tab/>
      </w:r>
      <w:r>
        <w:rPr>
          <w:rFonts w:hint="eastAsia" w:ascii="宋体" w:hAnsi="宋体" w:eastAsia="宋体" w:cs="宋体"/>
          <w:snapToGrid w:val="0"/>
          <w:color w:val="auto"/>
          <w:spacing w:val="0"/>
          <w:kern w:val="0"/>
          <w:sz w:val="22"/>
          <w:szCs w:val="22"/>
          <w:highlight w:val="none"/>
          <w:lang w:eastAsia="zh-CN"/>
        </w:rPr>
        <w:t>所投设备应包括但不仅限于以下系统：原料供给系统、筛分系统、破碎系统、破碎后料输送系统、成品料输送系统、控制系统等。</w:t>
      </w:r>
    </w:p>
    <w:p>
      <w:pPr>
        <w:numPr>
          <w:ilvl w:val="0"/>
          <w:numId w:val="0"/>
        </w:numPr>
        <w:tabs>
          <w:tab w:val="left" w:pos="758"/>
        </w:tabs>
        <w:snapToGrid w:val="0"/>
        <w:spacing w:line="360" w:lineRule="auto"/>
        <w:ind w:leftChars="100"/>
        <w:rPr>
          <w:rFonts w:hint="eastAsia" w:ascii="宋体" w:hAnsi="宋体" w:eastAsia="宋体" w:cs="宋体"/>
          <w:snapToGrid w:val="0"/>
          <w:color w:val="auto"/>
          <w:spacing w:val="0"/>
          <w:kern w:val="0"/>
          <w:sz w:val="22"/>
          <w:szCs w:val="22"/>
          <w:highlight w:val="none"/>
          <w:lang w:eastAsia="zh-CN"/>
        </w:rPr>
      </w:pPr>
      <w:r>
        <w:rPr>
          <w:rFonts w:hint="eastAsia" w:ascii="宋体" w:hAnsi="宋体" w:eastAsia="宋体" w:cs="宋体"/>
          <w:snapToGrid w:val="0"/>
          <w:color w:val="auto"/>
          <w:spacing w:val="0"/>
          <w:kern w:val="0"/>
          <w:sz w:val="22"/>
          <w:szCs w:val="22"/>
          <w:highlight w:val="none"/>
          <w:lang w:eastAsia="zh-CN"/>
        </w:rPr>
        <w:t>（</w:t>
      </w:r>
      <w:r>
        <w:rPr>
          <w:rFonts w:hint="eastAsia" w:ascii="宋体" w:hAnsi="宋体" w:eastAsia="宋体" w:cs="宋体"/>
          <w:snapToGrid w:val="0"/>
          <w:color w:val="auto"/>
          <w:spacing w:val="0"/>
          <w:kern w:val="0"/>
          <w:sz w:val="22"/>
          <w:szCs w:val="22"/>
          <w:highlight w:val="none"/>
          <w:lang w:val="en-US" w:eastAsia="zh-CN"/>
        </w:rPr>
        <w:t>2</w:t>
      </w:r>
      <w:r>
        <w:rPr>
          <w:rFonts w:hint="eastAsia" w:ascii="宋体" w:hAnsi="宋体" w:eastAsia="宋体" w:cs="宋体"/>
          <w:snapToGrid w:val="0"/>
          <w:color w:val="auto"/>
          <w:spacing w:val="0"/>
          <w:kern w:val="0"/>
          <w:sz w:val="22"/>
          <w:szCs w:val="22"/>
          <w:highlight w:val="none"/>
          <w:lang w:eastAsia="zh-CN"/>
        </w:rPr>
        <w:t>）产品基本要求</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eastAsia="zh-CN"/>
        </w:rPr>
      </w:pPr>
      <w:r>
        <w:rPr>
          <w:rFonts w:hint="eastAsia" w:ascii="宋体" w:hAnsi="宋体" w:eastAsia="宋体" w:cs="宋体"/>
          <w:snapToGrid w:val="0"/>
          <w:color w:val="auto"/>
          <w:spacing w:val="0"/>
          <w:kern w:val="0"/>
          <w:sz w:val="22"/>
          <w:szCs w:val="22"/>
          <w:highlight w:val="none"/>
          <w:lang w:val="en-US" w:eastAsia="zh-CN"/>
        </w:rPr>
        <w:t>a.</w:t>
      </w:r>
      <w:r>
        <w:rPr>
          <w:rFonts w:hint="eastAsia" w:ascii="宋体" w:hAnsi="宋体" w:eastAsia="宋体" w:cs="宋体"/>
          <w:snapToGrid w:val="0"/>
          <w:color w:val="auto"/>
          <w:spacing w:val="0"/>
          <w:kern w:val="0"/>
          <w:sz w:val="22"/>
          <w:szCs w:val="22"/>
          <w:highlight w:val="none"/>
          <w:lang w:eastAsia="zh-CN"/>
        </w:rPr>
        <w:t>设备的主要总成为国内外知名品牌，应采用国际先进制造工艺和质量控制体系。关键部位的驱动电机、减速机、轴承、传感器、气动元件、电控元件等零部件应选用国内外知名品牌产品。</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eastAsia="zh-CN"/>
        </w:rPr>
      </w:pPr>
      <w:r>
        <w:rPr>
          <w:rFonts w:hint="eastAsia" w:ascii="宋体" w:hAnsi="宋体" w:eastAsia="宋体" w:cs="宋体"/>
          <w:snapToGrid w:val="0"/>
          <w:color w:val="auto"/>
          <w:spacing w:val="0"/>
          <w:kern w:val="0"/>
          <w:sz w:val="22"/>
          <w:szCs w:val="22"/>
          <w:highlight w:val="none"/>
          <w:lang w:val="en-US" w:eastAsia="zh-CN"/>
        </w:rPr>
        <w:t>b.</w:t>
      </w:r>
      <w:r>
        <w:rPr>
          <w:rFonts w:hint="eastAsia" w:ascii="宋体" w:hAnsi="宋体" w:eastAsia="宋体" w:cs="宋体"/>
          <w:snapToGrid w:val="0"/>
          <w:color w:val="auto"/>
          <w:spacing w:val="0"/>
          <w:kern w:val="0"/>
          <w:sz w:val="22"/>
          <w:szCs w:val="22"/>
          <w:highlight w:val="none"/>
          <w:lang w:eastAsia="zh-CN"/>
        </w:rPr>
        <w:t>所有电机、电器元件要有防潮、防灰尘或结露的保护措施。设备应安装局部紧急停止装置，能在第一时间让故障部份紧急停止运转。</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eastAsia="zh-CN"/>
        </w:rPr>
      </w:pPr>
      <w:r>
        <w:rPr>
          <w:rFonts w:hint="eastAsia" w:ascii="宋体" w:hAnsi="宋体" w:eastAsia="宋体" w:cs="宋体"/>
          <w:snapToGrid w:val="0"/>
          <w:color w:val="auto"/>
          <w:spacing w:val="0"/>
          <w:kern w:val="0"/>
          <w:sz w:val="22"/>
          <w:szCs w:val="22"/>
          <w:highlight w:val="none"/>
          <w:lang w:val="en-US" w:eastAsia="zh-CN"/>
        </w:rPr>
        <w:t>c.</w:t>
      </w:r>
      <w:r>
        <w:rPr>
          <w:rFonts w:hint="eastAsia" w:ascii="宋体" w:hAnsi="宋体" w:eastAsia="宋体" w:cs="宋体"/>
          <w:snapToGrid w:val="0"/>
          <w:color w:val="auto"/>
          <w:spacing w:val="0"/>
          <w:kern w:val="0"/>
          <w:sz w:val="22"/>
          <w:szCs w:val="22"/>
          <w:highlight w:val="none"/>
          <w:lang w:eastAsia="zh-CN"/>
        </w:rPr>
        <w:t>所有的钢结构件的防护等级应满足有关行业标准规定的要求。</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d.★生产能力：原料粒径≤100mm，产量应≥100t/h，破碎筛分为2档成品料，规格根据实际规格确定。</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e.配电条件：380V/50Hz，交流电（三相四线制），线缆长度约</w:t>
      </w:r>
      <w:r>
        <w:rPr>
          <w:rFonts w:hint="eastAsia" w:ascii="宋体" w:hAnsi="宋体" w:cs="宋体"/>
          <w:snapToGrid w:val="0"/>
          <w:color w:val="auto"/>
          <w:spacing w:val="0"/>
          <w:kern w:val="0"/>
          <w:sz w:val="22"/>
          <w:szCs w:val="22"/>
          <w:highlight w:val="none"/>
          <w:lang w:val="en-US" w:eastAsia="zh-CN"/>
        </w:rPr>
        <w:t>210</w:t>
      </w:r>
      <w:r>
        <w:rPr>
          <w:rFonts w:hint="eastAsia" w:ascii="宋体" w:hAnsi="宋体" w:eastAsia="宋体" w:cs="宋体"/>
          <w:snapToGrid w:val="0"/>
          <w:color w:val="auto"/>
          <w:spacing w:val="0"/>
          <w:kern w:val="0"/>
          <w:sz w:val="22"/>
          <w:szCs w:val="22"/>
          <w:highlight w:val="none"/>
          <w:lang w:val="en-US" w:eastAsia="zh-CN"/>
        </w:rPr>
        <w:t>米，</w:t>
      </w:r>
      <w:r>
        <w:rPr>
          <w:rFonts w:hint="eastAsia" w:ascii="宋体" w:hAnsi="宋体" w:eastAsia="宋体" w:cs="宋体"/>
          <w:b/>
          <w:bCs/>
          <w:snapToGrid w:val="0"/>
          <w:color w:val="auto"/>
          <w:spacing w:val="0"/>
          <w:kern w:val="0"/>
          <w:sz w:val="22"/>
          <w:szCs w:val="22"/>
          <w:highlight w:val="none"/>
          <w:lang w:val="en-US" w:eastAsia="zh-CN"/>
        </w:rPr>
        <w:t>材质：铜芯</w:t>
      </w:r>
      <w:r>
        <w:rPr>
          <w:rFonts w:hint="eastAsia" w:ascii="宋体" w:hAnsi="宋体" w:eastAsia="宋体" w:cs="宋体"/>
          <w:snapToGrid w:val="0"/>
          <w:color w:val="auto"/>
          <w:spacing w:val="0"/>
          <w:kern w:val="0"/>
          <w:sz w:val="22"/>
          <w:szCs w:val="22"/>
          <w:highlight w:val="none"/>
          <w:lang w:val="en-US" w:eastAsia="zh-CN"/>
        </w:rPr>
        <w:t>；照明电压220V；全部电器线路有过载安全保护装置。</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f.安装要求投标人负责设备的装卸、吊装、安装、调试工作，包括设备运至目的地的运输、装卸、吊装及人员安全等并承担由此所产生的一切费用。</w:t>
      </w:r>
    </w:p>
    <w:p>
      <w:pPr>
        <w:spacing w:line="360" w:lineRule="auto"/>
        <w:ind w:firstLine="442" w:firstLineChars="200"/>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2.4原料仓</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a.单仓，仓容≥8m³；上料宽度≥3m；上料高度≤3.5m；</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b.★生产能力：料仓输出能力≥100t/h</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c.配置形式：原料仓一侧带上料敞口，其余三边带防溢料挡板，料仓上部设置防大料隔栅，防止超规格骨料进入料仓，料仓均需配有空仓报警装置及破拱振动器。</w:t>
      </w:r>
    </w:p>
    <w:p>
      <w:pPr>
        <w:spacing w:line="360" w:lineRule="auto"/>
        <w:ind w:firstLine="442" w:firstLineChars="200"/>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2.5给料机</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a.★生产能力：集料皮带机采用国内外知名品牌产品，输出能力≥100t/h</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b.配置要求：采用变频控制；皮带给料器采用无接口、高强度、高耐磨、带裙边防侧漏橡胶皮带，皮带宽度≥550mm，皮带层数≥3，设有物料检测装置。</w:t>
      </w:r>
    </w:p>
    <w:p>
      <w:pPr>
        <w:spacing w:line="360" w:lineRule="auto"/>
        <w:ind w:firstLine="442" w:firstLineChars="200"/>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2.6输送皮带机</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a.★输出能力≥100t/h</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b.★配置要求：输送皮带采用无接缝皮带，应与设备的最大生产能力、喂料皮带的能力有良好的匹配，加装张紧、防侧漏和自动清扫装置，集料皮带机和倾斜输送皮带的输送能力≥100t/h。</w:t>
      </w:r>
    </w:p>
    <w:p>
      <w:pPr>
        <w:spacing w:line="360" w:lineRule="auto"/>
        <w:ind w:firstLine="442" w:firstLineChars="200"/>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2.7筛分系统</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a.★筛分能力≥100t/h</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b.配置要求：应采用直线或圆形筛结构，具备筛分效率高，筛网不易堵料功能，筛分机为国内外知名品牌产品；振动筛体及电机免维护结构，振动筛前后门处空间宽敞，并有方便的检查口及便于筛网更换。</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c.★筛分要求：筛分规格按照招标人要求配置（筛网2套，其中备件1套）。</w:t>
      </w:r>
    </w:p>
    <w:p>
      <w:pPr>
        <w:spacing w:line="360" w:lineRule="auto"/>
        <w:ind w:firstLine="442" w:firstLineChars="200"/>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2.8破碎系统</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a.破碎形式：采用辊式破碎形式。</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b.★破碎能力应≥60/h，满足生产要求；具有防止铣刨料二次破碎功能。破碎机为国内外知名品牌产品。</w:t>
      </w:r>
    </w:p>
    <w:p>
      <w:pPr>
        <w:spacing w:line="360" w:lineRule="auto"/>
        <w:ind w:firstLine="442" w:firstLineChars="200"/>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2.9回料输送皮带机</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a.★输出能力≥80t/h</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b.配置要求：设有涨紧、防溢出、自清扫的功能，防止粘料；配有清扫器，皮带输送机要装有安全保护装置（需配备皮带拉绳安全防护措施）。另设有停止上再生料后，破碎不了的料排放装置。</w:t>
      </w:r>
    </w:p>
    <w:p>
      <w:pPr>
        <w:spacing w:line="360" w:lineRule="auto"/>
        <w:ind w:firstLine="442" w:firstLineChars="200"/>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2.10成品料输送皮带机2套</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a.★输出能力≥120/h</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b.</w:t>
      </w:r>
      <w:r>
        <w:rPr>
          <w:rFonts w:hint="eastAsia" w:ascii="宋体" w:hAnsi="宋体" w:eastAsia="宋体" w:cs="宋体"/>
          <w:b/>
          <w:bCs/>
          <w:snapToGrid w:val="0"/>
          <w:color w:val="auto"/>
          <w:spacing w:val="0"/>
          <w:kern w:val="0"/>
          <w:sz w:val="22"/>
          <w:szCs w:val="22"/>
          <w:highlight w:val="none"/>
          <w:lang w:val="en-US" w:eastAsia="zh-CN"/>
        </w:rPr>
        <w:t>配置要求：</w:t>
      </w:r>
      <w:r>
        <w:rPr>
          <w:rFonts w:hint="eastAsia" w:ascii="宋体" w:hAnsi="宋体" w:eastAsia="宋体" w:cs="宋体"/>
          <w:snapToGrid w:val="0"/>
          <w:color w:val="auto"/>
          <w:spacing w:val="0"/>
          <w:kern w:val="0"/>
          <w:sz w:val="22"/>
          <w:szCs w:val="22"/>
          <w:highlight w:val="none"/>
          <w:lang w:val="en-US" w:eastAsia="zh-CN"/>
        </w:rPr>
        <w:t>有涨紧、防溢出、自清扫的功能，防止粘料；配有清扫器，皮带输送机要装有安全保护装置。</w:t>
      </w:r>
    </w:p>
    <w:p>
      <w:pPr>
        <w:spacing w:line="360" w:lineRule="auto"/>
        <w:ind w:firstLine="442" w:firstLineChars="200"/>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2.11控制系统</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a.★</w:t>
      </w:r>
      <w:r>
        <w:rPr>
          <w:rFonts w:hint="eastAsia" w:ascii="宋体" w:hAnsi="宋体" w:eastAsia="宋体" w:cs="宋体"/>
          <w:b/>
          <w:bCs/>
          <w:snapToGrid w:val="0"/>
          <w:color w:val="auto"/>
          <w:spacing w:val="0"/>
          <w:kern w:val="0"/>
          <w:sz w:val="22"/>
          <w:szCs w:val="22"/>
          <w:highlight w:val="none"/>
          <w:lang w:val="en-US" w:eastAsia="zh-CN"/>
        </w:rPr>
        <w:t>配置要求：</w:t>
      </w:r>
      <w:r>
        <w:rPr>
          <w:rFonts w:hint="eastAsia" w:ascii="宋体" w:hAnsi="宋体" w:eastAsia="宋体" w:cs="宋体"/>
          <w:snapToGrid w:val="0"/>
          <w:color w:val="auto"/>
          <w:spacing w:val="0"/>
          <w:kern w:val="0"/>
          <w:sz w:val="22"/>
          <w:szCs w:val="22"/>
          <w:highlight w:val="none"/>
          <w:lang w:val="en-US" w:eastAsia="zh-CN"/>
        </w:rPr>
        <w:t>带有电控柜，整个电气控制系统中的电气元件采用国内外知名品牌产品。各部件的控制都有安全连锁保护，防止设备故障或操作失误。</w:t>
      </w:r>
    </w:p>
    <w:p>
      <w:pPr>
        <w:spacing w:line="360" w:lineRule="auto"/>
        <w:ind w:firstLine="442" w:firstLineChars="200"/>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2.12外观要求</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a.基本要求：焊缝牢固、平整、均匀，无咬边、气孔等缺陷，铸件表面整洁，无气孔和疏松缺陷。结构件、钣金件进行喷沙等表面除锈处理，表面平整、光洁。</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b.油漆要求：油漆采用知名品牌，喷漆表面光滑，高温部分涂高温漆。所有加温管路包裹保温材料，外表用镀锌板材或其他环保、耐高温材料，加以防护，保证高温管路外包保温材料的使用寿命。</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c.管路布置：各种管路、线槽布局与敷设应合理、坚固、安全、美观，并符合国家相关安装规范。</w:t>
      </w:r>
    </w:p>
    <w:p>
      <w:pPr>
        <w:numPr>
          <w:ilvl w:val="0"/>
          <w:numId w:val="0"/>
        </w:numPr>
        <w:tabs>
          <w:tab w:val="left" w:pos="758"/>
        </w:tabs>
        <w:snapToGrid w:val="0"/>
        <w:spacing w:line="360" w:lineRule="auto"/>
        <w:ind w:leftChars="100" w:firstLine="221" w:firstLineChars="100"/>
        <w:rPr>
          <w:rFonts w:hint="eastAsia" w:ascii="宋体" w:hAnsi="宋体" w:eastAsia="宋体" w:cs="宋体"/>
          <w:b/>
          <w:bCs/>
          <w:snapToGrid w:val="0"/>
          <w:color w:val="auto"/>
          <w:spacing w:val="0"/>
          <w:kern w:val="0"/>
          <w:sz w:val="22"/>
          <w:szCs w:val="22"/>
          <w:highlight w:val="none"/>
          <w:lang w:val="en-US" w:eastAsia="zh-CN"/>
        </w:rPr>
      </w:pPr>
      <w:r>
        <w:rPr>
          <w:rFonts w:hint="eastAsia" w:ascii="宋体" w:hAnsi="宋体" w:eastAsia="宋体" w:cs="宋体"/>
          <w:b/>
          <w:bCs/>
          <w:snapToGrid w:val="0"/>
          <w:color w:val="auto"/>
          <w:spacing w:val="0"/>
          <w:kern w:val="0"/>
          <w:sz w:val="22"/>
          <w:szCs w:val="22"/>
          <w:highlight w:val="none"/>
          <w:lang w:val="en-US" w:eastAsia="zh-CN"/>
        </w:rPr>
        <w:t>2.13除铁装置</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可清除0-25kg沥青回收料中的铁块，铣刨刀座，刀头，装载机齿等杂质。提高再生回收料的质量，保护对辊式破碎机不会因铁类杂质导致的设备损坏。</w:t>
      </w:r>
    </w:p>
    <w:p>
      <w:pPr>
        <w:numPr>
          <w:ilvl w:val="0"/>
          <w:numId w:val="0"/>
        </w:numPr>
        <w:tabs>
          <w:tab w:val="left" w:pos="758"/>
        </w:tabs>
        <w:snapToGrid w:val="0"/>
        <w:spacing w:line="360" w:lineRule="auto"/>
        <w:ind w:leftChars="100" w:firstLine="221" w:firstLineChars="100"/>
        <w:rPr>
          <w:rFonts w:hint="eastAsia" w:ascii="宋体" w:hAnsi="宋体" w:eastAsia="宋体" w:cs="宋体"/>
          <w:b/>
          <w:bCs/>
          <w:snapToGrid w:val="0"/>
          <w:color w:val="auto"/>
          <w:spacing w:val="0"/>
          <w:kern w:val="0"/>
          <w:sz w:val="22"/>
          <w:szCs w:val="22"/>
          <w:highlight w:val="none"/>
          <w:lang w:val="en-US" w:eastAsia="zh-CN"/>
        </w:rPr>
      </w:pPr>
      <w:r>
        <w:rPr>
          <w:rFonts w:hint="eastAsia" w:ascii="宋体" w:hAnsi="宋体" w:eastAsia="宋体" w:cs="宋体"/>
          <w:b/>
          <w:bCs/>
          <w:snapToGrid w:val="0"/>
          <w:color w:val="auto"/>
          <w:spacing w:val="0"/>
          <w:kern w:val="0"/>
          <w:sz w:val="22"/>
          <w:szCs w:val="22"/>
          <w:highlight w:val="none"/>
          <w:lang w:val="en-US" w:eastAsia="zh-CN"/>
        </w:rPr>
        <w:t>2.14安全要求</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a.破碎设备安装，请投标人详细说明采取的安全措施，必须具有声光故障报警灯提示功能等。</w:t>
      </w:r>
    </w:p>
    <w:p>
      <w:pPr>
        <w:numPr>
          <w:ilvl w:val="0"/>
          <w:numId w:val="0"/>
        </w:numPr>
        <w:tabs>
          <w:tab w:val="left" w:pos="758"/>
        </w:tabs>
        <w:snapToGrid w:val="0"/>
        <w:spacing w:line="360" w:lineRule="auto"/>
        <w:ind w:leftChars="100" w:firstLine="220" w:firstLineChars="100"/>
        <w:rPr>
          <w:rFonts w:hint="eastAsia" w:ascii="宋体" w:hAnsi="宋体" w:eastAsia="宋体" w:cs="宋体"/>
          <w:snapToGrid w:val="0"/>
          <w:color w:val="auto"/>
          <w:spacing w:val="0"/>
          <w:kern w:val="0"/>
          <w:sz w:val="22"/>
          <w:szCs w:val="22"/>
          <w:highlight w:val="none"/>
          <w:lang w:val="en-US" w:eastAsia="zh-CN"/>
        </w:rPr>
      </w:pPr>
      <w:r>
        <w:rPr>
          <w:rFonts w:hint="eastAsia" w:ascii="宋体" w:hAnsi="宋体" w:eastAsia="宋体" w:cs="宋体"/>
          <w:snapToGrid w:val="0"/>
          <w:color w:val="auto"/>
          <w:spacing w:val="0"/>
          <w:kern w:val="0"/>
          <w:sz w:val="22"/>
          <w:szCs w:val="22"/>
          <w:highlight w:val="none"/>
          <w:lang w:val="en-US" w:eastAsia="zh-CN"/>
        </w:rPr>
        <w:t>b.需配备紧急停止按钮。</w:t>
      </w:r>
    </w:p>
    <w:p>
      <w:pPr>
        <w:spacing w:line="360" w:lineRule="auto"/>
        <w:ind w:left="210" w:leftChars="100" w:firstLine="418" w:firstLineChars="0"/>
        <w:rPr>
          <w:rFonts w:hint="eastAsia" w:ascii="宋体" w:hAnsi="宋体" w:eastAsia="宋体" w:cs="宋体"/>
          <w:b/>
          <w:bCs/>
          <w:snapToGrid w:val="0"/>
          <w:color w:val="auto"/>
          <w:spacing w:val="0"/>
          <w:kern w:val="0"/>
          <w:sz w:val="22"/>
          <w:szCs w:val="22"/>
          <w:highlight w:val="none"/>
        </w:rPr>
      </w:pPr>
      <w:r>
        <w:rPr>
          <w:rFonts w:hint="eastAsia" w:ascii="宋体" w:hAnsi="宋体" w:eastAsia="宋体" w:cs="宋体"/>
          <w:b/>
          <w:bCs/>
          <w:snapToGrid w:val="0"/>
          <w:color w:val="auto"/>
          <w:spacing w:val="0"/>
          <w:kern w:val="0"/>
          <w:sz w:val="22"/>
          <w:szCs w:val="22"/>
          <w:highlight w:val="none"/>
        </w:rPr>
        <w:t>注：上述技术要求中带“★”的为重点参数，如不满足的评标委员会将作出不利于投标人的评审。</w:t>
      </w:r>
    </w:p>
    <w:p>
      <w:pPr>
        <w:keepNext w:val="0"/>
        <w:keepLines w:val="0"/>
        <w:pageBreakBefore w:val="0"/>
        <w:widowControl/>
        <w:kinsoku/>
        <w:wordWrap/>
        <w:overflowPunct/>
        <w:topLinePunct w:val="0"/>
        <w:bidi w:val="0"/>
        <w:spacing w:line="360" w:lineRule="auto"/>
        <w:ind w:firstLine="42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rPr>
        <w:t xml:space="preserve">三、其他要求 </w:t>
      </w:r>
    </w:p>
    <w:p>
      <w:pPr>
        <w:keepNext w:val="0"/>
        <w:keepLines w:val="0"/>
        <w:pageBreakBefore w:val="0"/>
        <w:widowControl/>
        <w:kinsoku/>
        <w:wordWrap/>
        <w:overflowPunct/>
        <w:topLinePunct w:val="0"/>
        <w:bidi w:val="0"/>
        <w:spacing w:line="360" w:lineRule="auto"/>
        <w:ind w:firstLine="42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rPr>
        <w:t xml:space="preserve">1、售后服务 </w:t>
      </w:r>
    </w:p>
    <w:p>
      <w:pPr>
        <w:keepNext w:val="0"/>
        <w:keepLines w:val="0"/>
        <w:pageBreakBefore w:val="0"/>
        <w:widowControl/>
        <w:kinsoku/>
        <w:wordWrap/>
        <w:overflowPunct/>
        <w:topLinePunct w:val="0"/>
        <w:bidi w:val="0"/>
        <w:spacing w:line="360" w:lineRule="auto"/>
        <w:ind w:firstLine="42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1.1 投标人必须明确作出服务承诺，详细阐述维修、维护内容及服务方式和范围。</w:t>
      </w:r>
    </w:p>
    <w:p>
      <w:pPr>
        <w:keepNext w:val="0"/>
        <w:keepLines w:val="0"/>
        <w:pageBreakBefore w:val="0"/>
        <w:widowControl/>
        <w:kinsoku/>
        <w:wordWrap/>
        <w:overflowPunct/>
        <w:topLinePunct w:val="0"/>
        <w:bidi w:val="0"/>
        <w:spacing w:line="360" w:lineRule="auto"/>
        <w:ind w:firstLine="42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 xml:space="preserve">1.2 投标人应以优惠价格提供在货物验收合格后的零配件供应价格。 </w:t>
      </w:r>
    </w:p>
    <w:p>
      <w:pPr>
        <w:keepNext w:val="0"/>
        <w:keepLines w:val="0"/>
        <w:pageBreakBefore w:val="0"/>
        <w:widowControl/>
        <w:kinsoku/>
        <w:wordWrap/>
        <w:overflowPunct/>
        <w:topLinePunct w:val="0"/>
        <w:bidi w:val="0"/>
        <w:spacing w:line="360" w:lineRule="auto"/>
        <w:ind w:firstLine="42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rPr>
        <w:t xml:space="preserve">2、其他要求 </w:t>
      </w:r>
    </w:p>
    <w:p>
      <w:pPr>
        <w:keepNext w:val="0"/>
        <w:keepLines w:val="0"/>
        <w:pageBreakBefore w:val="0"/>
        <w:widowControl/>
        <w:kinsoku/>
        <w:wordWrap/>
        <w:overflowPunct/>
        <w:topLinePunct w:val="0"/>
        <w:bidi w:val="0"/>
        <w:spacing w:line="360" w:lineRule="auto"/>
        <w:ind w:firstLine="42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rPr>
        <w:t>2.1 投标人应保证，采购人在中华人民共和国使用该产品任何一部分时，免受第三方提出的侵犯其专利权、商标权或其他知识产权的起诉。如发生此类纠纷，由投标人承担一切责任。</w:t>
      </w:r>
    </w:p>
    <w:p>
      <w:pPr>
        <w:keepNext w:val="0"/>
        <w:keepLines w:val="0"/>
        <w:pageBreakBefore w:val="0"/>
        <w:widowControl/>
        <w:kinsoku/>
        <w:wordWrap/>
        <w:overflowPunct/>
        <w:topLinePunct w:val="0"/>
        <w:bidi w:val="0"/>
        <w:spacing w:line="360" w:lineRule="auto"/>
        <w:ind w:firstLine="420" w:firstLineChars="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2.2 投标人为执行本合同而提供的技术资料的使用权归采购人所有。 </w:t>
      </w:r>
    </w:p>
    <w:p>
      <w:pPr>
        <w:keepNext w:val="0"/>
        <w:keepLines w:val="0"/>
        <w:pageBreakBefore w:val="0"/>
        <w:widowControl/>
        <w:kinsoku/>
        <w:wordWrap/>
        <w:overflowPunct/>
        <w:topLinePunct w:val="0"/>
        <w:bidi w:val="0"/>
        <w:spacing w:line="360" w:lineRule="auto"/>
        <w:ind w:firstLine="420" w:firstLineChars="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2.3 投标人必须承诺采购文件中提出的全部技术要求；如果以其中某些条款不响应时，应在投标文件中逐条列出，未列出的视同响应。 </w:t>
      </w:r>
    </w:p>
    <w:p>
      <w:pPr>
        <w:keepNext w:val="0"/>
        <w:keepLines w:val="0"/>
        <w:pageBreakBefore w:val="0"/>
        <w:widowControl/>
        <w:kinsoku/>
        <w:wordWrap/>
        <w:overflowPunct/>
        <w:topLinePunct w:val="0"/>
        <w:bidi w:val="0"/>
        <w:spacing w:line="360" w:lineRule="auto"/>
        <w:ind w:firstLine="420" w:firstLineChars="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w:t>
      </w:r>
      <w:r>
        <w:rPr>
          <w:rFonts w:hint="eastAsia" w:ascii="宋体" w:hAnsi="宋体" w:eastAsia="宋体" w:cs="宋体"/>
          <w:color w:val="auto"/>
          <w:kern w:val="0"/>
          <w:sz w:val="22"/>
          <w:szCs w:val="22"/>
          <w:highlight w:val="none"/>
          <w:lang w:val="en-US" w:eastAsia="zh-CN"/>
        </w:rPr>
        <w:t>4</w:t>
      </w:r>
      <w:r>
        <w:rPr>
          <w:rFonts w:hint="eastAsia" w:ascii="宋体" w:hAnsi="宋体" w:eastAsia="宋体" w:cs="宋体"/>
          <w:color w:val="auto"/>
          <w:kern w:val="0"/>
          <w:sz w:val="22"/>
          <w:szCs w:val="22"/>
          <w:highlight w:val="none"/>
        </w:rPr>
        <w:t>在实际供货安装过程中需完全配合采购人要求。</w:t>
      </w:r>
    </w:p>
    <w:p>
      <w:pPr>
        <w:keepNext w:val="0"/>
        <w:keepLines w:val="0"/>
        <w:pageBreakBefore w:val="0"/>
        <w:widowControl/>
        <w:kinsoku/>
        <w:wordWrap/>
        <w:overflowPunct/>
        <w:topLinePunct w:val="0"/>
        <w:bidi w:val="0"/>
        <w:spacing w:line="360" w:lineRule="auto"/>
        <w:ind w:firstLine="42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rPr>
        <w:t>▲3、免费质保期：</w:t>
      </w:r>
      <w:r>
        <w:rPr>
          <w:rFonts w:hint="eastAsia" w:ascii="宋体" w:hAnsi="宋体" w:eastAsia="宋体" w:cs="宋体"/>
          <w:color w:val="auto"/>
          <w:kern w:val="0"/>
          <w:sz w:val="22"/>
          <w:szCs w:val="22"/>
          <w:highlight w:val="none"/>
        </w:rPr>
        <w:t>本项目所有产品免费质保期不少于 2 年</w:t>
      </w:r>
      <w:r>
        <w:rPr>
          <w:rFonts w:hint="eastAsia" w:ascii="宋体" w:hAnsi="宋体" w:eastAsia="宋体" w:cs="宋体"/>
          <w:color w:val="auto"/>
          <w:sz w:val="22"/>
          <w:szCs w:val="22"/>
          <w:highlight w:val="none"/>
        </w:rPr>
        <w:t>（具体以中标供应商投标时承诺的为准）</w:t>
      </w:r>
      <w:r>
        <w:rPr>
          <w:rFonts w:hint="eastAsia" w:ascii="宋体" w:hAnsi="宋体" w:eastAsia="宋体" w:cs="宋体"/>
          <w:color w:val="auto"/>
          <w:kern w:val="0"/>
          <w:sz w:val="22"/>
          <w:szCs w:val="22"/>
          <w:highlight w:val="none"/>
        </w:rPr>
        <w:t>，自交货验收合格之日起计。</w:t>
      </w:r>
    </w:p>
    <w:p>
      <w:pPr>
        <w:keepNext w:val="0"/>
        <w:keepLines w:val="0"/>
        <w:pageBreakBefore w:val="0"/>
        <w:widowControl/>
        <w:kinsoku/>
        <w:wordWrap/>
        <w:overflowPunct/>
        <w:topLinePunct w:val="0"/>
        <w:bidi w:val="0"/>
        <w:spacing w:line="360" w:lineRule="auto"/>
        <w:ind w:firstLine="42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rPr>
        <w:t>4、售后技术服务要求：</w:t>
      </w:r>
      <w:r>
        <w:rPr>
          <w:rFonts w:hint="eastAsia" w:ascii="宋体" w:hAnsi="宋体" w:eastAsia="宋体" w:cs="宋体"/>
          <w:color w:val="auto"/>
          <w:kern w:val="0"/>
          <w:sz w:val="22"/>
          <w:szCs w:val="22"/>
          <w:highlight w:val="none"/>
        </w:rPr>
        <w:t xml:space="preserve">提供产品保修卡，并按厂家产品规定保修期限及内容以及供应商的其它承诺条款实行保修，出现故障后 2 小时内服务响应、8 小时内现场服务到位、12 小时内解决问题。 </w:t>
      </w:r>
    </w:p>
    <w:p>
      <w:pPr>
        <w:keepNext w:val="0"/>
        <w:keepLines w:val="0"/>
        <w:pageBreakBefore w:val="0"/>
        <w:widowControl/>
        <w:kinsoku/>
        <w:wordWrap/>
        <w:overflowPunct/>
        <w:topLinePunct w:val="0"/>
        <w:bidi w:val="0"/>
        <w:spacing w:line="360" w:lineRule="auto"/>
        <w:ind w:firstLine="420" w:firstLineChars="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b/>
          <w:color w:val="auto"/>
          <w:kern w:val="0"/>
          <w:sz w:val="22"/>
          <w:szCs w:val="22"/>
          <w:highlight w:val="none"/>
        </w:rPr>
        <w:t>5、交货时间及地点：</w:t>
      </w:r>
      <w:r>
        <w:rPr>
          <w:rFonts w:hint="eastAsia" w:ascii="宋体" w:hAnsi="宋体" w:eastAsia="宋体" w:cs="宋体"/>
          <w:color w:val="auto"/>
          <w:sz w:val="22"/>
          <w:szCs w:val="22"/>
          <w:highlight w:val="none"/>
        </w:rPr>
        <w:t>①合同签订后接到采购人通知</w:t>
      </w:r>
      <w:r>
        <w:rPr>
          <w:rFonts w:hint="eastAsia" w:ascii="宋体" w:hAnsi="宋体" w:eastAsia="宋体" w:cs="宋体"/>
          <w:color w:val="auto"/>
          <w:sz w:val="22"/>
          <w:szCs w:val="22"/>
          <w:highlight w:val="none"/>
          <w:u w:val="single"/>
          <w:lang w:val="en-US" w:eastAsia="zh-CN"/>
        </w:rPr>
        <w:t>30</w:t>
      </w:r>
      <w:r>
        <w:rPr>
          <w:rFonts w:hint="eastAsia" w:ascii="宋体" w:hAnsi="宋体" w:eastAsia="宋体" w:cs="宋体"/>
          <w:color w:val="auto"/>
          <w:sz w:val="22"/>
          <w:szCs w:val="22"/>
          <w:highlight w:val="none"/>
        </w:rPr>
        <w:t>日历天内完成供货并完成安装。②</w:t>
      </w:r>
      <w:r>
        <w:rPr>
          <w:rFonts w:hint="eastAsia" w:ascii="宋体" w:hAnsi="宋体" w:eastAsia="宋体" w:cs="宋体"/>
          <w:color w:val="auto"/>
          <w:kern w:val="0"/>
          <w:sz w:val="22"/>
          <w:szCs w:val="22"/>
          <w:highlight w:val="none"/>
        </w:rPr>
        <w:t xml:space="preserve">在安装、调试、检验时，应派遣代表参加并加以指导，如发现质量问题，代表必须负责处理至采购人满意为止；④交货地点：采购人指定地点。 </w:t>
      </w:r>
    </w:p>
    <w:p>
      <w:pPr>
        <w:keepNext w:val="0"/>
        <w:keepLines w:val="0"/>
        <w:pageBreakBefore w:val="0"/>
        <w:widowControl/>
        <w:kinsoku/>
        <w:wordWrap/>
        <w:overflowPunct/>
        <w:topLinePunct w:val="0"/>
        <w:bidi w:val="0"/>
        <w:spacing w:line="360" w:lineRule="auto"/>
        <w:ind w:firstLine="420" w:firstLineChars="0"/>
        <w:jc w:val="left"/>
        <w:textAlignment w:val="auto"/>
        <w:rPr>
          <w:rFonts w:hint="eastAsia" w:ascii="宋体" w:hAnsi="宋体" w:eastAsia="宋体" w:cs="宋体"/>
          <w:b/>
          <w:bCs/>
          <w:color w:val="auto"/>
          <w:kern w:val="0"/>
          <w:sz w:val="22"/>
          <w:szCs w:val="22"/>
          <w:highlight w:val="none"/>
          <w:lang w:val="en-US" w:eastAsia="zh-CN"/>
        </w:rPr>
      </w:pPr>
      <w:r>
        <w:rPr>
          <w:rFonts w:hint="eastAsia" w:ascii="宋体" w:hAnsi="宋体" w:eastAsia="宋体" w:cs="宋体"/>
          <w:b/>
          <w:bCs/>
          <w:color w:val="auto"/>
          <w:kern w:val="0"/>
          <w:sz w:val="22"/>
          <w:szCs w:val="22"/>
          <w:highlight w:val="none"/>
          <w:lang w:val="en-US" w:eastAsia="zh-CN"/>
        </w:rPr>
        <w:t>6、中标供应商需根据自身设备规定提供设备预埋件，由中标供应商进行埋放，经第三方及采购人确认后方可进行浇筑。</w:t>
      </w:r>
    </w:p>
    <w:p>
      <w:pPr>
        <w:pStyle w:val="2"/>
        <w:keepNext w:val="0"/>
        <w:keepLines w:val="0"/>
        <w:pageBreakBefore w:val="0"/>
        <w:kinsoku/>
        <w:wordWrap/>
        <w:overflowPunct/>
        <w:topLinePunct w:val="0"/>
        <w:bidi w:val="0"/>
        <w:spacing w:line="360" w:lineRule="auto"/>
        <w:ind w:firstLine="420" w:firstLineChars="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kern w:val="0"/>
          <w:sz w:val="22"/>
          <w:szCs w:val="22"/>
          <w:highlight w:val="none"/>
          <w:lang w:val="en-US" w:eastAsia="zh-CN"/>
        </w:rPr>
        <w:t>7、中标供应商需根据铣刨料设备区基础情况出具响应的基础施工相应图纸，中标供应商需在合同签订后5日历天内提供相应图纸。</w:t>
      </w:r>
    </w:p>
    <w:p>
      <w:pPr>
        <w:keepNext w:val="0"/>
        <w:keepLines w:val="0"/>
        <w:pageBreakBefore w:val="0"/>
        <w:kinsoku/>
        <w:wordWrap/>
        <w:overflowPunct/>
        <w:topLinePunct w:val="0"/>
        <w:bidi w:val="0"/>
        <w:adjustRightInd w:val="0"/>
        <w:snapToGrid w:val="0"/>
        <w:spacing w:line="360" w:lineRule="auto"/>
        <w:ind w:firstLine="420" w:firstLineChars="0"/>
        <w:textAlignment w:val="auto"/>
        <w:outlineLvl w:val="1"/>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四、付款方式</w:t>
      </w:r>
    </w:p>
    <w:p>
      <w:pPr>
        <w:keepNext w:val="0"/>
        <w:keepLines w:val="0"/>
        <w:pageBreakBefore w:val="0"/>
        <w:widowControl/>
        <w:kinsoku/>
        <w:wordWrap/>
        <w:overflowPunct/>
        <w:topLinePunct w:val="0"/>
        <w:bidi w:val="0"/>
        <w:spacing w:line="360" w:lineRule="auto"/>
        <w:ind w:firstLine="442" w:firstLineChars="200"/>
        <w:jc w:val="left"/>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3.1在合同签订前，</w:t>
      </w:r>
      <w:r>
        <w:rPr>
          <w:rFonts w:hint="eastAsia" w:ascii="宋体" w:hAnsi="宋体" w:eastAsia="宋体" w:cs="宋体"/>
          <w:b/>
          <w:bCs/>
          <w:color w:val="auto"/>
          <w:kern w:val="0"/>
          <w:sz w:val="22"/>
          <w:szCs w:val="22"/>
          <w:highlight w:val="none"/>
          <w:lang w:val="en-US" w:eastAsia="zh-CN"/>
        </w:rPr>
        <w:t>中标供应商</w:t>
      </w:r>
      <w:r>
        <w:rPr>
          <w:rFonts w:hint="eastAsia" w:ascii="宋体" w:hAnsi="宋体" w:eastAsia="宋体" w:cs="宋体"/>
          <w:b/>
          <w:bCs/>
          <w:color w:val="auto"/>
          <w:sz w:val="22"/>
          <w:szCs w:val="22"/>
          <w:highlight w:val="none"/>
          <w:lang w:val="en-US" w:eastAsia="zh-CN"/>
        </w:rPr>
        <w:t>须向</w:t>
      </w:r>
      <w:r>
        <w:rPr>
          <w:rFonts w:hint="eastAsia" w:ascii="宋体" w:hAnsi="宋体" w:cs="宋体"/>
          <w:b/>
          <w:bCs/>
          <w:color w:val="auto"/>
          <w:sz w:val="22"/>
          <w:szCs w:val="22"/>
          <w:highlight w:val="none"/>
          <w:lang w:val="en-US" w:eastAsia="zh-CN"/>
        </w:rPr>
        <w:t>采购人</w:t>
      </w:r>
      <w:r>
        <w:rPr>
          <w:rFonts w:hint="eastAsia" w:ascii="宋体" w:hAnsi="宋体" w:eastAsia="宋体" w:cs="宋体"/>
          <w:b/>
          <w:bCs/>
          <w:color w:val="auto"/>
          <w:sz w:val="22"/>
          <w:szCs w:val="22"/>
          <w:highlight w:val="none"/>
          <w:lang w:val="en-US" w:eastAsia="zh-CN"/>
        </w:rPr>
        <w:t>提供合同金额的10%作为履约保证金（转账或保函）（由</w:t>
      </w:r>
      <w:r>
        <w:rPr>
          <w:rFonts w:hint="eastAsia" w:ascii="宋体" w:hAnsi="宋体" w:cs="宋体"/>
          <w:b/>
          <w:bCs/>
          <w:color w:val="auto"/>
          <w:sz w:val="22"/>
          <w:szCs w:val="22"/>
          <w:highlight w:val="none"/>
          <w:lang w:val="en-US" w:eastAsia="zh-CN"/>
        </w:rPr>
        <w:t>采购人</w:t>
      </w:r>
      <w:r>
        <w:rPr>
          <w:rFonts w:hint="eastAsia" w:ascii="宋体" w:hAnsi="宋体" w:eastAsia="宋体" w:cs="宋体"/>
          <w:b/>
          <w:bCs/>
          <w:color w:val="auto"/>
          <w:sz w:val="22"/>
          <w:szCs w:val="22"/>
          <w:highlight w:val="none"/>
          <w:lang w:val="en-US" w:eastAsia="zh-CN"/>
        </w:rPr>
        <w:t>开具履约保证金收据），</w:t>
      </w:r>
      <w:r>
        <w:rPr>
          <w:rFonts w:hint="eastAsia" w:ascii="宋体" w:hAnsi="宋体" w:eastAsia="宋体" w:cs="宋体"/>
          <w:b/>
          <w:bCs/>
          <w:color w:val="auto"/>
          <w:kern w:val="0"/>
          <w:sz w:val="22"/>
          <w:szCs w:val="22"/>
          <w:highlight w:val="none"/>
          <w:lang w:val="en-US" w:eastAsia="zh-CN"/>
        </w:rPr>
        <w:t>中标供应商</w:t>
      </w:r>
      <w:r>
        <w:rPr>
          <w:rFonts w:hint="eastAsia" w:ascii="宋体" w:hAnsi="宋体" w:eastAsia="宋体" w:cs="宋体"/>
          <w:b/>
          <w:bCs/>
          <w:color w:val="auto"/>
          <w:sz w:val="22"/>
          <w:szCs w:val="22"/>
          <w:highlight w:val="none"/>
          <w:lang w:val="en-US" w:eastAsia="zh-CN"/>
        </w:rPr>
        <w:t>如不提供履约保证金，</w:t>
      </w:r>
      <w:r>
        <w:rPr>
          <w:rFonts w:hint="eastAsia" w:ascii="宋体" w:hAnsi="宋体" w:cs="宋体"/>
          <w:b/>
          <w:bCs/>
          <w:color w:val="auto"/>
          <w:sz w:val="22"/>
          <w:szCs w:val="22"/>
          <w:highlight w:val="none"/>
          <w:lang w:val="en-US" w:eastAsia="zh-CN"/>
        </w:rPr>
        <w:t>采购人</w:t>
      </w:r>
      <w:r>
        <w:rPr>
          <w:rFonts w:hint="eastAsia" w:ascii="宋体" w:hAnsi="宋体" w:eastAsia="宋体" w:cs="宋体"/>
          <w:b/>
          <w:bCs/>
          <w:color w:val="auto"/>
          <w:sz w:val="22"/>
          <w:szCs w:val="22"/>
          <w:highlight w:val="none"/>
          <w:lang w:val="en-US" w:eastAsia="zh-CN"/>
        </w:rPr>
        <w:t>有权拒签合同。合同签订后，待</w:t>
      </w:r>
      <w:r>
        <w:rPr>
          <w:rFonts w:hint="eastAsia" w:ascii="宋体" w:hAnsi="宋体" w:eastAsia="宋体" w:cs="宋体"/>
          <w:b/>
          <w:bCs/>
          <w:color w:val="auto"/>
          <w:kern w:val="0"/>
          <w:sz w:val="22"/>
          <w:szCs w:val="22"/>
          <w:highlight w:val="none"/>
          <w:lang w:val="en-US" w:eastAsia="zh-CN"/>
        </w:rPr>
        <w:t>中标供应商</w:t>
      </w:r>
      <w:r>
        <w:rPr>
          <w:rFonts w:hint="eastAsia" w:ascii="宋体" w:hAnsi="宋体" w:eastAsia="宋体" w:cs="宋体"/>
          <w:b/>
          <w:bCs/>
          <w:color w:val="auto"/>
          <w:sz w:val="22"/>
          <w:szCs w:val="22"/>
          <w:highlight w:val="none"/>
          <w:lang w:val="en-US" w:eastAsia="zh-CN"/>
        </w:rPr>
        <w:t>完成全部货物的生产、运输、安装、调试、设备交货、试运转结束，通过最终验收后，</w:t>
      </w:r>
      <w:r>
        <w:rPr>
          <w:rFonts w:hint="eastAsia" w:ascii="宋体" w:hAnsi="宋体" w:eastAsia="宋体" w:cs="宋体"/>
          <w:b/>
          <w:bCs/>
          <w:color w:val="auto"/>
          <w:kern w:val="0"/>
          <w:sz w:val="22"/>
          <w:szCs w:val="22"/>
          <w:highlight w:val="none"/>
          <w:lang w:val="en-US" w:eastAsia="zh-CN"/>
        </w:rPr>
        <w:t>中标供应商</w:t>
      </w:r>
      <w:r>
        <w:rPr>
          <w:rFonts w:hint="eastAsia" w:ascii="宋体" w:hAnsi="宋体" w:eastAsia="宋体" w:cs="宋体"/>
          <w:b/>
          <w:bCs/>
          <w:color w:val="auto"/>
          <w:sz w:val="22"/>
          <w:szCs w:val="22"/>
          <w:highlight w:val="none"/>
          <w:lang w:val="en-US" w:eastAsia="zh-CN"/>
        </w:rPr>
        <w:t>提供对应货物的全额增值税发票后15天内，</w:t>
      </w:r>
      <w:r>
        <w:rPr>
          <w:rFonts w:hint="eastAsia" w:ascii="宋体" w:hAnsi="宋体" w:cs="宋体"/>
          <w:b/>
          <w:bCs/>
          <w:color w:val="auto"/>
          <w:sz w:val="22"/>
          <w:szCs w:val="22"/>
          <w:highlight w:val="none"/>
          <w:lang w:val="en-US" w:eastAsia="zh-CN"/>
        </w:rPr>
        <w:t>采购人</w:t>
      </w:r>
      <w:r>
        <w:rPr>
          <w:rFonts w:hint="eastAsia" w:ascii="宋体" w:hAnsi="宋体" w:eastAsia="宋体" w:cs="宋体"/>
          <w:b/>
          <w:bCs/>
          <w:color w:val="auto"/>
          <w:sz w:val="22"/>
          <w:szCs w:val="22"/>
          <w:highlight w:val="none"/>
          <w:lang w:val="en-US" w:eastAsia="zh-CN"/>
        </w:rPr>
        <w:t>支付设备合同总价的100%的货款。即人民币______________元整，同时履约保证金转为质量保证金。</w:t>
      </w:r>
    </w:p>
    <w:p>
      <w:pPr>
        <w:keepNext w:val="0"/>
        <w:keepLines w:val="0"/>
        <w:pageBreakBefore w:val="0"/>
        <w:widowControl/>
        <w:kinsoku/>
        <w:wordWrap/>
        <w:overflowPunct/>
        <w:topLinePunct w:val="0"/>
        <w:bidi w:val="0"/>
        <w:spacing w:line="360" w:lineRule="auto"/>
        <w:ind w:firstLine="442" w:firstLineChars="200"/>
        <w:jc w:val="left"/>
        <w:textAlignment w:val="auto"/>
        <w:rPr>
          <w:rFonts w:hint="eastAsia" w:ascii="宋体" w:hAnsi="宋体" w:eastAsia="宋体" w:cs="宋体"/>
          <w:b/>
          <w:bCs/>
          <w:color w:val="auto"/>
          <w:sz w:val="22"/>
          <w:szCs w:val="22"/>
          <w:highlight w:val="none"/>
          <w:lang w:val="zh-CN" w:eastAsia="zh-CN"/>
        </w:rPr>
      </w:pPr>
      <w:r>
        <w:rPr>
          <w:rFonts w:hint="eastAsia" w:ascii="宋体" w:hAnsi="宋体" w:eastAsia="宋体" w:cs="宋体"/>
          <w:b/>
          <w:bCs/>
          <w:color w:val="auto"/>
          <w:sz w:val="22"/>
          <w:szCs w:val="22"/>
          <w:highlight w:val="none"/>
          <w:lang w:val="en-US" w:eastAsia="zh-CN"/>
        </w:rPr>
        <w:t>3.2设备质保期为由</w:t>
      </w:r>
      <w:r>
        <w:rPr>
          <w:rFonts w:hint="eastAsia" w:ascii="宋体" w:hAnsi="宋体" w:cs="宋体"/>
          <w:b/>
          <w:bCs/>
          <w:color w:val="auto"/>
          <w:sz w:val="22"/>
          <w:szCs w:val="22"/>
          <w:highlight w:val="none"/>
          <w:lang w:val="en-US" w:eastAsia="zh-CN"/>
        </w:rPr>
        <w:t>采购人</w:t>
      </w:r>
      <w:r>
        <w:rPr>
          <w:rFonts w:hint="eastAsia" w:ascii="宋体" w:hAnsi="宋体" w:eastAsia="宋体" w:cs="宋体"/>
          <w:b/>
          <w:bCs/>
          <w:color w:val="auto"/>
          <w:sz w:val="22"/>
          <w:szCs w:val="22"/>
          <w:highlight w:val="none"/>
          <w:lang w:val="en-US" w:eastAsia="zh-CN"/>
        </w:rPr>
        <w:t>、</w:t>
      </w:r>
      <w:r>
        <w:rPr>
          <w:rFonts w:hint="eastAsia" w:ascii="宋体" w:hAnsi="宋体" w:eastAsia="宋体" w:cs="宋体"/>
          <w:b/>
          <w:bCs/>
          <w:color w:val="auto"/>
          <w:kern w:val="0"/>
          <w:sz w:val="22"/>
          <w:szCs w:val="22"/>
          <w:highlight w:val="none"/>
          <w:lang w:val="en-US" w:eastAsia="zh-CN"/>
        </w:rPr>
        <w:t>中标供应商</w:t>
      </w:r>
      <w:r>
        <w:rPr>
          <w:rFonts w:hint="eastAsia" w:ascii="宋体" w:hAnsi="宋体" w:eastAsia="宋体" w:cs="宋体"/>
          <w:b/>
          <w:bCs/>
          <w:color w:val="auto"/>
          <w:sz w:val="22"/>
          <w:szCs w:val="22"/>
          <w:highlight w:val="none"/>
          <w:lang w:val="en-US" w:eastAsia="zh-CN"/>
        </w:rPr>
        <w:t>双方授权代表共同签署的货物最终验收合格证书后的</w:t>
      </w:r>
      <w:r>
        <w:rPr>
          <w:rFonts w:hint="eastAsia" w:ascii="宋体" w:hAnsi="宋体" w:cs="宋体"/>
          <w:b/>
          <w:bCs/>
          <w:color w:val="auto"/>
          <w:sz w:val="22"/>
          <w:szCs w:val="22"/>
          <w:highlight w:val="none"/>
          <w:lang w:val="en-US" w:eastAsia="zh-CN"/>
        </w:rPr>
        <w:t>贰</w:t>
      </w:r>
      <w:r>
        <w:rPr>
          <w:rFonts w:hint="eastAsia" w:ascii="宋体" w:hAnsi="宋体" w:eastAsia="宋体" w:cs="宋体"/>
          <w:b/>
          <w:bCs/>
          <w:color w:val="auto"/>
          <w:sz w:val="22"/>
          <w:szCs w:val="22"/>
          <w:highlight w:val="none"/>
          <w:lang w:val="en-US" w:eastAsia="zh-CN"/>
        </w:rPr>
        <w:t>年（具体以中标供应商投标时承诺的为准），设备合同总价的10%的货款，即人民币______________元整，无任何服务、质量问题，</w:t>
      </w:r>
      <w:r>
        <w:rPr>
          <w:rFonts w:hint="eastAsia" w:ascii="宋体" w:hAnsi="宋体" w:eastAsia="宋体" w:cs="宋体"/>
          <w:b/>
          <w:bCs/>
          <w:color w:val="auto"/>
          <w:kern w:val="0"/>
          <w:sz w:val="22"/>
          <w:szCs w:val="22"/>
          <w:highlight w:val="none"/>
          <w:lang w:val="en-US" w:eastAsia="zh-CN"/>
        </w:rPr>
        <w:t>中标供应商</w:t>
      </w:r>
      <w:r>
        <w:rPr>
          <w:rFonts w:hint="eastAsia" w:ascii="宋体" w:hAnsi="宋体" w:eastAsia="宋体" w:cs="宋体"/>
          <w:b/>
          <w:bCs/>
          <w:color w:val="auto"/>
          <w:sz w:val="22"/>
          <w:szCs w:val="22"/>
          <w:highlight w:val="none"/>
          <w:lang w:val="en-US" w:eastAsia="zh-CN"/>
        </w:rPr>
        <w:t>提供</w:t>
      </w:r>
      <w:r>
        <w:rPr>
          <w:rFonts w:hint="eastAsia" w:ascii="宋体" w:hAnsi="宋体" w:cs="宋体"/>
          <w:b/>
          <w:bCs/>
          <w:color w:val="auto"/>
          <w:sz w:val="22"/>
          <w:szCs w:val="22"/>
          <w:highlight w:val="none"/>
          <w:lang w:val="en-US" w:eastAsia="zh-CN"/>
        </w:rPr>
        <w:t>采购人</w:t>
      </w:r>
      <w:r>
        <w:rPr>
          <w:rFonts w:hint="eastAsia" w:ascii="宋体" w:hAnsi="宋体" w:eastAsia="宋体" w:cs="宋体"/>
          <w:b/>
          <w:bCs/>
          <w:color w:val="auto"/>
          <w:sz w:val="22"/>
          <w:szCs w:val="22"/>
          <w:highlight w:val="none"/>
          <w:lang w:val="en-US" w:eastAsia="zh-CN"/>
        </w:rPr>
        <w:t>开具的保证金收据原件后，15天内予以无息退还）</w:t>
      </w:r>
    </w:p>
    <w:p>
      <w:pPr>
        <w:keepNext w:val="0"/>
        <w:keepLines w:val="0"/>
        <w:pageBreakBefore w:val="0"/>
        <w:kinsoku/>
        <w:wordWrap/>
        <w:overflowPunct/>
        <w:topLinePunct w:val="0"/>
        <w:bidi w:val="0"/>
        <w:spacing w:line="360" w:lineRule="auto"/>
        <w:ind w:firstLine="420" w:firstLineChars="0"/>
        <w:textAlignment w:val="auto"/>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五、</w:t>
      </w:r>
      <w:r>
        <w:rPr>
          <w:rFonts w:hint="eastAsia" w:ascii="宋体" w:hAnsi="宋体" w:eastAsia="宋体" w:cs="宋体"/>
          <w:b/>
          <w:bCs/>
          <w:color w:val="auto"/>
          <w:sz w:val="22"/>
          <w:szCs w:val="22"/>
          <w:highlight w:val="none"/>
        </w:rPr>
        <w:t>工作范围（根据</w:t>
      </w:r>
      <w:r>
        <w:rPr>
          <w:rFonts w:hint="eastAsia" w:ascii="宋体" w:hAnsi="宋体" w:eastAsia="宋体" w:cs="宋体"/>
          <w:b/>
          <w:bCs/>
          <w:color w:val="auto"/>
          <w:sz w:val="22"/>
          <w:szCs w:val="22"/>
          <w:highlight w:val="none"/>
          <w:lang w:eastAsia="zh-CN"/>
        </w:rPr>
        <w:t>采购文件</w:t>
      </w:r>
      <w:r>
        <w:rPr>
          <w:rFonts w:hint="eastAsia" w:ascii="宋体" w:hAnsi="宋体" w:eastAsia="宋体" w:cs="宋体"/>
          <w:b/>
          <w:bCs/>
          <w:color w:val="auto"/>
          <w:sz w:val="22"/>
          <w:szCs w:val="22"/>
          <w:highlight w:val="none"/>
        </w:rPr>
        <w:t>，各供应商须按国家有关标准及规范完成下列工作）：</w:t>
      </w:r>
    </w:p>
    <w:p>
      <w:pPr>
        <w:keepNext w:val="0"/>
        <w:keepLines w:val="0"/>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5.1.提供完整成套的货物及软件；</w:t>
      </w:r>
    </w:p>
    <w:p>
      <w:pPr>
        <w:keepNext w:val="0"/>
        <w:keepLines w:val="0"/>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pacing w:val="-2"/>
          <w:sz w:val="22"/>
          <w:szCs w:val="22"/>
          <w:highlight w:val="none"/>
        </w:rPr>
      </w:pPr>
      <w:r>
        <w:rPr>
          <w:rFonts w:hint="eastAsia" w:ascii="宋体" w:hAnsi="宋体" w:eastAsia="宋体" w:cs="宋体"/>
          <w:color w:val="auto"/>
          <w:sz w:val="22"/>
          <w:szCs w:val="22"/>
          <w:highlight w:val="none"/>
        </w:rPr>
        <w:t>5.2.</w:t>
      </w:r>
      <w:r>
        <w:rPr>
          <w:rFonts w:hint="eastAsia" w:ascii="宋体" w:hAnsi="宋体" w:eastAsia="宋体" w:cs="宋体"/>
          <w:color w:val="auto"/>
          <w:spacing w:val="-2"/>
          <w:sz w:val="22"/>
          <w:szCs w:val="22"/>
          <w:highlight w:val="none"/>
        </w:rPr>
        <w:t>产品及相关附件的提供、运输、装卸、就位、安装、调试、检验、通过验收及配套工程的施工；</w:t>
      </w:r>
    </w:p>
    <w:p>
      <w:pPr>
        <w:keepNext w:val="0"/>
        <w:keepLines w:val="0"/>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5.3.完成各项安装、调试、检验、测试等工作，并在买方的配合下通过的验收；提供各种数据资料；直至通过验收；</w:t>
      </w:r>
    </w:p>
    <w:p>
      <w:pPr>
        <w:keepNext w:val="0"/>
        <w:keepLines w:val="0"/>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5.4.质保期内维修及质保期后终身维修；</w:t>
      </w:r>
    </w:p>
    <w:p>
      <w:pPr>
        <w:keepNext w:val="0"/>
        <w:keepLines w:val="0"/>
        <w:pageBreakBefore w:val="0"/>
        <w:kinsoku/>
        <w:wordWrap/>
        <w:overflowPunct/>
        <w:topLinePunct w:val="0"/>
        <w:bidi w:val="0"/>
        <w:spacing w:line="36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5.5.售后服务的措施及承诺。</w:t>
      </w:r>
    </w:p>
    <w:p>
      <w:pPr>
        <w:pStyle w:val="17"/>
        <w:keepNext w:val="0"/>
        <w:keepLines w:val="0"/>
        <w:pageBreakBefore w:val="0"/>
        <w:kinsoku/>
        <w:wordWrap/>
        <w:overflowPunct/>
        <w:topLinePunct w:val="0"/>
        <w:bidi w:val="0"/>
        <w:spacing w:line="360" w:lineRule="auto"/>
        <w:ind w:firstLine="420" w:firstLineChars="0"/>
        <w:textAlignment w:val="auto"/>
        <w:rPr>
          <w:rFonts w:hint="eastAsia" w:ascii="宋体" w:hAnsi="宋体" w:eastAsia="宋体" w:cs="宋体"/>
          <w:b/>
          <w:color w:val="auto"/>
          <w:kern w:val="28"/>
          <w:sz w:val="22"/>
          <w:szCs w:val="22"/>
          <w:highlight w:val="none"/>
        </w:rPr>
      </w:pPr>
      <w:r>
        <w:rPr>
          <w:rFonts w:hint="eastAsia" w:ascii="宋体" w:hAnsi="宋体" w:eastAsia="宋体" w:cs="宋体"/>
          <w:b/>
          <w:bCs/>
          <w:color w:val="auto"/>
          <w:sz w:val="22"/>
          <w:szCs w:val="22"/>
          <w:highlight w:val="none"/>
        </w:rPr>
        <w:t>注意：</w:t>
      </w:r>
      <w:r>
        <w:rPr>
          <w:rFonts w:hint="eastAsia" w:ascii="宋体" w:hAnsi="宋体" w:eastAsia="宋体" w:cs="宋体"/>
          <w:color w:val="auto"/>
          <w:sz w:val="22"/>
          <w:szCs w:val="22"/>
          <w:highlight w:val="none"/>
        </w:rPr>
        <w:t>除质保期后终身维修外以上其他工作内容的费用均包含在投标总价中。</w:t>
      </w:r>
    </w:p>
    <w:p>
      <w:pPr>
        <w:pStyle w:val="17"/>
        <w:ind w:firstLine="420" w:firstLineChars="0"/>
        <w:rPr>
          <w:rFonts w:hint="default" w:ascii="宋体" w:hAnsi="宋体" w:eastAsia="宋体" w:cs="宋体"/>
          <w:b/>
          <w:bCs/>
          <w:color w:val="auto"/>
          <w:sz w:val="22"/>
          <w:szCs w:val="22"/>
          <w:highlight w:val="none"/>
          <w:lang w:val="en-US" w:eastAsia="zh-CN"/>
        </w:rPr>
      </w:pPr>
      <w:r>
        <w:rPr>
          <w:color w:val="auto"/>
          <w:highlight w:val="none"/>
        </w:rPr>
        <w:br w:type="page"/>
      </w:r>
      <w:r>
        <w:rPr>
          <w:rFonts w:hint="eastAsia" w:ascii="宋体" w:hAnsi="宋体" w:eastAsia="宋体" w:cs="宋体"/>
          <w:b/>
          <w:bCs/>
          <w:color w:val="auto"/>
          <w:sz w:val="22"/>
          <w:szCs w:val="22"/>
          <w:highlight w:val="none"/>
          <w:lang w:val="en-US" w:eastAsia="zh-CN"/>
        </w:rPr>
        <w:t>附件：设备区域平面图</w:t>
      </w:r>
    </w:p>
    <w:p>
      <w:pPr>
        <w:rPr>
          <w:color w:val="auto"/>
          <w:highlight w:val="none"/>
        </w:rPr>
      </w:pPr>
      <w:r>
        <w:rPr>
          <w:color w:val="auto"/>
          <w:highlight w:val="none"/>
        </w:rPr>
        <w:drawing>
          <wp:inline distT="0" distB="0" distL="114300" distR="114300">
            <wp:extent cx="6115685" cy="2938145"/>
            <wp:effectExtent l="0" t="0" r="10795" b="31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6115685" cy="2938145"/>
                    </a:xfrm>
                    <a:prstGeom prst="rect">
                      <a:avLst/>
                    </a:prstGeom>
                    <a:noFill/>
                    <a:ln>
                      <a:noFill/>
                    </a:ln>
                  </pic:spPr>
                </pic:pic>
              </a:graphicData>
            </a:graphic>
          </wp:inline>
        </w:drawing>
      </w:r>
      <w:r>
        <w:rPr>
          <w:rFonts w:hint="eastAsia" w:ascii="新宋体" w:hAnsi="新宋体" w:eastAsia="新宋体" w:cs="新宋体"/>
          <w:color w:val="auto"/>
          <w:sz w:val="36"/>
          <w:szCs w:val="36"/>
          <w:highlight w:val="none"/>
        </w:rPr>
        <w:br w:type="page"/>
      </w:r>
    </w:p>
    <w:p>
      <w:pPr>
        <w:pStyle w:val="4"/>
        <w:jc w:val="center"/>
        <w:rPr>
          <w:rFonts w:ascii="新宋体" w:hAnsi="新宋体" w:eastAsia="新宋体" w:cs="新宋体"/>
          <w:color w:val="auto"/>
          <w:sz w:val="36"/>
          <w:szCs w:val="36"/>
          <w:highlight w:val="none"/>
        </w:rPr>
      </w:pPr>
      <w:bookmarkStart w:id="124" w:name="_Toc4002"/>
      <w:r>
        <w:rPr>
          <w:rFonts w:hint="eastAsia" w:ascii="新宋体" w:hAnsi="新宋体" w:eastAsia="新宋体" w:cs="新宋体"/>
          <w:color w:val="auto"/>
          <w:sz w:val="36"/>
          <w:szCs w:val="36"/>
          <w:highlight w:val="none"/>
        </w:rPr>
        <w:t>第五部分   评标原则及方法</w:t>
      </w:r>
      <w:bookmarkEnd w:id="114"/>
      <w:bookmarkEnd w:id="115"/>
      <w:bookmarkEnd w:id="116"/>
      <w:bookmarkEnd w:id="117"/>
      <w:bookmarkEnd w:id="118"/>
      <w:bookmarkEnd w:id="119"/>
      <w:bookmarkEnd w:id="120"/>
      <w:bookmarkEnd w:id="121"/>
      <w:bookmarkEnd w:id="122"/>
      <w:bookmarkEnd w:id="123"/>
      <w:bookmarkEnd w:id="124"/>
    </w:p>
    <w:p>
      <w:pPr>
        <w:pStyle w:val="2"/>
        <w:spacing w:after="0" w:line="460" w:lineRule="exact"/>
        <w:rPr>
          <w:rFonts w:ascii="新宋体" w:hAnsi="新宋体" w:eastAsia="新宋体" w:cs="新宋体"/>
          <w:b/>
          <w:color w:val="auto"/>
          <w:highlight w:val="none"/>
        </w:rPr>
      </w:pPr>
      <w:bookmarkStart w:id="125" w:name="_Toc221356961"/>
      <w:bookmarkStart w:id="126" w:name="_Toc221356898"/>
      <w:r>
        <w:rPr>
          <w:rFonts w:hint="eastAsia" w:ascii="新宋体" w:hAnsi="新宋体" w:eastAsia="新宋体" w:cs="新宋体"/>
          <w:b/>
          <w:color w:val="auto"/>
          <w:highlight w:val="none"/>
        </w:rPr>
        <w:t>一. 总  则</w:t>
      </w:r>
      <w:bookmarkEnd w:id="125"/>
      <w:bookmarkEnd w:id="126"/>
    </w:p>
    <w:p>
      <w:pPr>
        <w:spacing w:line="460" w:lineRule="exact"/>
        <w:ind w:firstLine="440" w:firstLineChars="2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评标工作遵循公平、公正、科学、择优原则和诚实、信誉、效率的服务原则。本着科学、严谨的态度，认真进行评标。择优选用，推进技术进步，确保工程质量、交货期，节约投资，最大限度的保护当事人权益，严格按照采购文件的商务、技术要求，对投标文件进行综合评定，提出优选方案，编写评标报告。对落标单位，评委会不作任何落标解释。</w:t>
      </w:r>
    </w:p>
    <w:p>
      <w:pPr>
        <w:pStyle w:val="2"/>
        <w:spacing w:after="0" w:line="460" w:lineRule="exact"/>
        <w:rPr>
          <w:rFonts w:ascii="新宋体" w:hAnsi="新宋体" w:eastAsia="新宋体" w:cs="新宋体"/>
          <w:b/>
          <w:color w:val="auto"/>
          <w:highlight w:val="none"/>
        </w:rPr>
      </w:pPr>
      <w:bookmarkStart w:id="127" w:name="_Toc221356962"/>
      <w:bookmarkStart w:id="128" w:name="_Toc221356899"/>
      <w:r>
        <w:rPr>
          <w:rFonts w:hint="eastAsia" w:ascii="新宋体" w:hAnsi="新宋体" w:eastAsia="新宋体" w:cs="新宋体"/>
          <w:b/>
          <w:color w:val="auto"/>
          <w:highlight w:val="none"/>
        </w:rPr>
        <w:t>二、评标组织</w:t>
      </w:r>
      <w:bookmarkEnd w:id="127"/>
      <w:bookmarkEnd w:id="128"/>
    </w:p>
    <w:p>
      <w:pPr>
        <w:spacing w:line="460" w:lineRule="exact"/>
        <w:ind w:firstLine="440" w:firstLineChars="2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评标工作由</w:t>
      </w:r>
      <w:r>
        <w:rPr>
          <w:rFonts w:ascii="新宋体" w:hAnsi="新宋体" w:eastAsia="新宋体" w:cs="新宋体"/>
          <w:color w:val="auto"/>
          <w:sz w:val="22"/>
          <w:szCs w:val="22"/>
          <w:highlight w:val="none"/>
        </w:rPr>
        <w:t>采购人</w:t>
      </w:r>
      <w:r>
        <w:rPr>
          <w:rFonts w:hint="eastAsia" w:ascii="新宋体" w:hAnsi="新宋体" w:eastAsia="新宋体" w:cs="新宋体"/>
          <w:color w:val="auto"/>
          <w:sz w:val="22"/>
          <w:szCs w:val="22"/>
          <w:highlight w:val="none"/>
        </w:rPr>
        <w:t>依法组建的评标委员会负责，评标全过程由有关部门指导监督。</w:t>
      </w:r>
    </w:p>
    <w:p>
      <w:pPr>
        <w:pStyle w:val="2"/>
        <w:spacing w:after="0" w:line="460" w:lineRule="exact"/>
        <w:rPr>
          <w:rFonts w:ascii="新宋体" w:hAnsi="新宋体" w:eastAsia="新宋体" w:cs="新宋体"/>
          <w:b/>
          <w:color w:val="auto"/>
          <w:highlight w:val="none"/>
        </w:rPr>
      </w:pPr>
      <w:bookmarkStart w:id="129" w:name="_Toc221356900"/>
      <w:bookmarkStart w:id="130" w:name="_Toc221356963"/>
      <w:r>
        <w:rPr>
          <w:rFonts w:hint="eastAsia" w:ascii="新宋体" w:hAnsi="新宋体" w:eastAsia="新宋体" w:cs="新宋体"/>
          <w:b/>
          <w:color w:val="auto"/>
          <w:highlight w:val="none"/>
        </w:rPr>
        <w:t>三、评标程序</w:t>
      </w:r>
      <w:bookmarkEnd w:id="129"/>
      <w:bookmarkEnd w:id="130"/>
    </w:p>
    <w:p>
      <w:pPr>
        <w:spacing w:line="460" w:lineRule="exact"/>
        <w:ind w:firstLine="440" w:firstLineChars="2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开标后，采购代理机构对各投标人的资格进行审查；然后评标委员会对合格投标人的投标文件进行符合性审查，按照采购文件中规定的评标方法和标准，对符合性审查合格的投标文件进行商务和技术评估，综合比较与评价。</w:t>
      </w:r>
    </w:p>
    <w:p>
      <w:pPr>
        <w:pStyle w:val="2"/>
        <w:spacing w:after="0" w:line="460" w:lineRule="exact"/>
        <w:rPr>
          <w:rFonts w:ascii="新宋体" w:hAnsi="新宋体" w:eastAsia="新宋体" w:cs="新宋体"/>
          <w:b/>
          <w:color w:val="auto"/>
          <w:highlight w:val="none"/>
        </w:rPr>
      </w:pPr>
      <w:bookmarkStart w:id="131" w:name="_Toc221356964"/>
      <w:bookmarkStart w:id="132" w:name="_Toc221356901"/>
      <w:r>
        <w:rPr>
          <w:rFonts w:hint="eastAsia" w:ascii="新宋体" w:hAnsi="新宋体" w:eastAsia="新宋体" w:cs="新宋体"/>
          <w:b/>
          <w:color w:val="auto"/>
          <w:highlight w:val="none"/>
        </w:rPr>
        <w:t>四、评标办法</w:t>
      </w:r>
      <w:bookmarkEnd w:id="131"/>
      <w:bookmarkEnd w:id="132"/>
    </w:p>
    <w:p>
      <w:pPr>
        <w:spacing w:line="460" w:lineRule="exact"/>
        <w:ind w:firstLine="440" w:firstLineChars="200"/>
        <w:rPr>
          <w:rFonts w:ascii="新宋体" w:hAnsi="新宋体" w:eastAsia="新宋体" w:cs="新宋体"/>
          <w:color w:val="auto"/>
          <w:sz w:val="22"/>
          <w:szCs w:val="22"/>
          <w:highlight w:val="none"/>
        </w:rPr>
      </w:pPr>
      <w:r>
        <w:rPr>
          <w:rFonts w:hint="eastAsia" w:ascii="新宋体" w:hAnsi="新宋体" w:eastAsia="新宋体" w:cs="新宋体"/>
          <w:color w:val="auto"/>
          <w:sz w:val="22"/>
          <w:highlight w:val="none"/>
        </w:rPr>
        <w:t>本次采购采用百分制综合评分法，即投标人最大限度地满足采购文件实质性要求的基础上，按照采购文件的各项因素进行综合评审后，以评标总得分最高的投标人和次高的投标人作为中标候选人和备选中标人的评标方法。</w:t>
      </w:r>
    </w:p>
    <w:p>
      <w:pPr>
        <w:pStyle w:val="2"/>
        <w:spacing w:after="0" w:line="460" w:lineRule="exact"/>
        <w:rPr>
          <w:rFonts w:ascii="新宋体" w:hAnsi="新宋体" w:eastAsia="新宋体" w:cs="新宋体"/>
          <w:b/>
          <w:color w:val="auto"/>
          <w:highlight w:val="none"/>
        </w:rPr>
      </w:pPr>
      <w:r>
        <w:rPr>
          <w:rFonts w:hint="eastAsia" w:ascii="新宋体" w:hAnsi="新宋体" w:eastAsia="新宋体" w:cs="新宋体"/>
          <w:b/>
          <w:color w:val="auto"/>
          <w:highlight w:val="none"/>
        </w:rPr>
        <w:t>五、评分细则</w:t>
      </w:r>
    </w:p>
    <w:p>
      <w:pPr>
        <w:numPr>
          <w:ilvl w:val="0"/>
          <w:numId w:val="13"/>
        </w:numPr>
        <w:spacing w:line="460" w:lineRule="exact"/>
        <w:ind w:firstLine="0"/>
        <w:rPr>
          <w:rFonts w:ascii="新宋体" w:hAnsi="新宋体" w:eastAsia="新宋体" w:cs="新宋体"/>
          <w:b/>
          <w:bCs/>
          <w:color w:val="auto"/>
          <w:szCs w:val="21"/>
          <w:highlight w:val="none"/>
        </w:rPr>
      </w:pPr>
      <w:r>
        <w:rPr>
          <w:rFonts w:hint="eastAsia" w:ascii="新宋体" w:hAnsi="新宋体" w:eastAsia="新宋体" w:cs="新宋体"/>
          <w:b/>
          <w:bCs/>
          <w:color w:val="auto"/>
          <w:szCs w:val="21"/>
          <w:highlight w:val="none"/>
        </w:rPr>
        <w:t>技术资信部分的评定（70分）</w:t>
      </w:r>
    </w:p>
    <w:p>
      <w:pPr>
        <w:spacing w:line="460" w:lineRule="exact"/>
        <w:ind w:firstLine="435"/>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各评委成员按下列评分项目进行评定，每人一张评分计算表，由评标委员会成员各自评定打分并记实名。如任何一张表的一项评分内容分值超过规定的范围，则该张表无效。各评标委员会成员对各投标人的各项评分内容进行评审、独立打分，所有评委成员评分的算术平均值为该投标人技术资信部分的最终得分（四舍五入，保留小数点后二位）。</w:t>
      </w:r>
    </w:p>
    <w:tbl>
      <w:tblPr>
        <w:tblStyle w:val="18"/>
        <w:tblW w:w="9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252"/>
        <w:gridCol w:w="6783"/>
        <w:gridCol w:w="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696" w:type="dxa"/>
            <w:shd w:val="clear" w:color="auto" w:fill="D8D8D8"/>
            <w:vAlign w:val="center"/>
          </w:tcPr>
          <w:p>
            <w:pPr>
              <w:jc w:val="center"/>
              <w:rPr>
                <w:rFonts w:hint="eastAsia" w:asciiTheme="minorEastAsia" w:hAnsiTheme="minorEastAsia" w:eastAsiaTheme="minorEastAsia" w:cstheme="minorEastAsia"/>
                <w:b/>
                <w:color w:val="auto"/>
                <w:sz w:val="22"/>
                <w:szCs w:val="22"/>
                <w:highlight w:val="none"/>
                <w:lang w:val="en-US" w:eastAsia="zh-CN"/>
              </w:rPr>
            </w:pPr>
            <w:r>
              <w:rPr>
                <w:rFonts w:hint="eastAsia" w:asciiTheme="minorEastAsia" w:hAnsiTheme="minorEastAsia" w:eastAsiaTheme="minorEastAsia" w:cstheme="minorEastAsia"/>
                <w:b/>
                <w:color w:val="auto"/>
                <w:sz w:val="22"/>
                <w:szCs w:val="22"/>
                <w:highlight w:val="none"/>
                <w:lang w:val="en-US" w:eastAsia="zh-CN"/>
              </w:rPr>
              <w:t>序号</w:t>
            </w:r>
          </w:p>
        </w:tc>
        <w:tc>
          <w:tcPr>
            <w:tcW w:w="1252" w:type="dxa"/>
            <w:shd w:val="clear" w:color="auto" w:fill="D8D8D8"/>
            <w:vAlign w:val="center"/>
          </w:tcPr>
          <w:p>
            <w:pPr>
              <w:jc w:val="center"/>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评分项目</w:t>
            </w:r>
          </w:p>
        </w:tc>
        <w:tc>
          <w:tcPr>
            <w:tcW w:w="6783" w:type="dxa"/>
            <w:shd w:val="clear" w:color="auto" w:fill="D8D8D8"/>
            <w:vAlign w:val="center"/>
          </w:tcPr>
          <w:p>
            <w:pPr>
              <w:jc w:val="cente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评分细则</w:t>
            </w:r>
          </w:p>
        </w:tc>
        <w:tc>
          <w:tcPr>
            <w:tcW w:w="744" w:type="dxa"/>
            <w:shd w:val="clear" w:color="auto" w:fill="D8D8D8"/>
            <w:vAlign w:val="center"/>
          </w:tcPr>
          <w:p>
            <w:pPr>
              <w:jc w:val="center"/>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96" w:type="dxa"/>
            <w:vAlign w:val="center"/>
          </w:tcPr>
          <w:p>
            <w:pPr>
              <w:jc w:val="center"/>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1</w:t>
            </w:r>
          </w:p>
        </w:tc>
        <w:tc>
          <w:tcPr>
            <w:tcW w:w="1252" w:type="dxa"/>
            <w:vAlign w:val="center"/>
          </w:tcPr>
          <w:p>
            <w:pPr>
              <w:jc w:val="center"/>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lang w:val="en-US" w:eastAsia="zh-CN"/>
              </w:rPr>
              <w:t>供应商</w:t>
            </w:r>
            <w:r>
              <w:rPr>
                <w:rFonts w:hint="eastAsia" w:asciiTheme="minorEastAsia" w:hAnsiTheme="minorEastAsia" w:eastAsiaTheme="minorEastAsia" w:cstheme="minorEastAsia"/>
                <w:b/>
                <w:bCs/>
                <w:color w:val="auto"/>
                <w:sz w:val="22"/>
                <w:szCs w:val="22"/>
                <w:highlight w:val="none"/>
              </w:rPr>
              <w:t>综合实力</w:t>
            </w:r>
          </w:p>
        </w:tc>
        <w:tc>
          <w:tcPr>
            <w:tcW w:w="6783" w:type="dxa"/>
            <w:vAlign w:val="center"/>
          </w:tcPr>
          <w:p>
            <w:pPr>
              <w:spacing w:line="276" w:lineRule="auto"/>
              <w:outlineLvl w:val="0"/>
              <w:rPr>
                <w:rFonts w:hint="default" w:eastAsia="宋体" w:asciiTheme="minorEastAsia" w:hAnsiTheme="minorEastAsia" w:cstheme="minorEastAsia"/>
                <w:color w:val="auto"/>
                <w:sz w:val="22"/>
                <w:szCs w:val="22"/>
                <w:highlight w:val="none"/>
                <w:lang w:val="en-US" w:eastAsia="zh-CN"/>
              </w:rPr>
            </w:pPr>
            <w:r>
              <w:rPr>
                <w:rFonts w:ascii="Arial" w:hAnsi="宋体" w:cs="Arial"/>
                <w:snapToGrid w:val="0"/>
                <w:color w:val="auto"/>
                <w:kern w:val="0"/>
                <w:sz w:val="21"/>
                <w:highlight w:val="none"/>
              </w:rPr>
              <w:t>根据投标人的经营资质、技术力量、企业简介、</w:t>
            </w:r>
            <w:r>
              <w:rPr>
                <w:rFonts w:hint="eastAsia" w:ascii="Arial" w:hAnsi="宋体" w:cs="Arial"/>
                <w:snapToGrid w:val="0"/>
                <w:color w:val="auto"/>
                <w:kern w:val="0"/>
                <w:sz w:val="21"/>
                <w:highlight w:val="none"/>
                <w:lang w:val="en-US" w:eastAsia="zh-CN"/>
              </w:rPr>
              <w:t>市场知名度</w:t>
            </w:r>
            <w:r>
              <w:rPr>
                <w:rFonts w:ascii="Arial" w:hAnsi="宋体" w:cs="Arial"/>
                <w:snapToGrid w:val="0"/>
                <w:color w:val="auto"/>
                <w:kern w:val="0"/>
                <w:sz w:val="21"/>
                <w:highlight w:val="none"/>
              </w:rPr>
              <w:t>、信誉</w:t>
            </w:r>
            <w:r>
              <w:rPr>
                <w:rFonts w:hint="eastAsia" w:ascii="Arial" w:hAnsi="宋体" w:cs="Arial"/>
                <w:snapToGrid w:val="0"/>
                <w:color w:val="auto"/>
                <w:kern w:val="0"/>
                <w:sz w:val="21"/>
                <w:highlight w:val="none"/>
                <w:lang w:val="en-US" w:eastAsia="zh-CN"/>
              </w:rPr>
              <w:t>等</w:t>
            </w:r>
            <w:r>
              <w:rPr>
                <w:rFonts w:ascii="Arial" w:hAnsi="宋体" w:cs="Arial"/>
                <w:snapToGrid w:val="0"/>
                <w:color w:val="auto"/>
                <w:kern w:val="0"/>
                <w:sz w:val="21"/>
                <w:highlight w:val="none"/>
              </w:rPr>
              <w:t>由专家</w:t>
            </w:r>
            <w:r>
              <w:rPr>
                <w:rFonts w:hint="eastAsia" w:ascii="Arial" w:hAnsi="宋体" w:cs="Arial"/>
                <w:snapToGrid w:val="0"/>
                <w:color w:val="auto"/>
                <w:kern w:val="0"/>
                <w:sz w:val="21"/>
                <w:highlight w:val="none"/>
                <w:lang w:val="en-US" w:eastAsia="zh-CN"/>
              </w:rPr>
              <w:t>综合</w:t>
            </w:r>
            <w:r>
              <w:rPr>
                <w:rFonts w:ascii="Arial" w:hAnsi="宋体" w:cs="Arial"/>
                <w:snapToGrid w:val="0"/>
                <w:color w:val="auto"/>
                <w:kern w:val="0"/>
                <w:sz w:val="21"/>
                <w:highlight w:val="none"/>
              </w:rPr>
              <w:t>打分。</w:t>
            </w:r>
            <w:r>
              <w:rPr>
                <w:rFonts w:hint="eastAsia" w:ascii="Arial" w:hAnsi="宋体" w:cs="Arial"/>
                <w:snapToGrid w:val="0"/>
                <w:color w:val="auto"/>
                <w:kern w:val="0"/>
                <w:sz w:val="21"/>
                <w:highlight w:val="none"/>
                <w:lang w:val="en-US" w:eastAsia="zh-CN"/>
              </w:rPr>
              <w:t>A档：8-5.1分，B档5-3.1分，C档3-0分。</w:t>
            </w:r>
          </w:p>
        </w:tc>
        <w:tc>
          <w:tcPr>
            <w:tcW w:w="744" w:type="dxa"/>
            <w:vAlign w:val="center"/>
          </w:tcPr>
          <w:p>
            <w:pPr>
              <w:jc w:val="center"/>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6" w:type="dxa"/>
            <w:vAlign w:val="center"/>
          </w:tcPr>
          <w:p>
            <w:pPr>
              <w:jc w:val="center"/>
              <w:rPr>
                <w:rFonts w:hint="default"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2</w:t>
            </w:r>
          </w:p>
        </w:tc>
        <w:tc>
          <w:tcPr>
            <w:tcW w:w="1252" w:type="dxa"/>
            <w:vAlign w:val="center"/>
          </w:tcPr>
          <w:p>
            <w:pPr>
              <w:jc w:val="center"/>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rPr>
              <w:t>体系认证</w:t>
            </w:r>
          </w:p>
        </w:tc>
        <w:tc>
          <w:tcPr>
            <w:tcW w:w="6783" w:type="dxa"/>
            <w:vAlign w:val="center"/>
          </w:tcPr>
          <w:p>
            <w:pPr>
              <w:widowControl/>
              <w:textAlignment w:val="center"/>
              <w:rPr>
                <w:color w:val="auto"/>
                <w:sz w:val="22"/>
                <w:szCs w:val="22"/>
                <w:highlight w:val="none"/>
                <w:lang w:bidi="ar"/>
              </w:rPr>
            </w:pPr>
            <w:r>
              <w:rPr>
                <w:color w:val="auto"/>
                <w:sz w:val="22"/>
                <w:szCs w:val="22"/>
                <w:highlight w:val="none"/>
                <w:lang w:bidi="ar"/>
              </w:rPr>
              <w:t>投标供应商具有有效期内质量管理体系认证证书、环境管理体系认证证书、职业健康安全管理体系认证证书的每个得2分，最高得6分。</w:t>
            </w:r>
          </w:p>
          <w:p>
            <w:pPr>
              <w:spacing w:line="300" w:lineRule="exact"/>
              <w:rPr>
                <w:rFonts w:hint="eastAsia" w:ascii="宋体" w:hAnsi="宋体" w:eastAsia="宋体" w:cs="宋体"/>
                <w:color w:val="auto"/>
                <w:kern w:val="2"/>
                <w:sz w:val="22"/>
                <w:szCs w:val="22"/>
                <w:highlight w:val="none"/>
                <w:lang w:val="en-US" w:eastAsia="zh-CN" w:bidi="ar-SA"/>
              </w:rPr>
            </w:pPr>
            <w:r>
              <w:rPr>
                <w:rFonts w:hint="eastAsia"/>
                <w:b/>
                <w:bCs/>
                <w:color w:val="auto"/>
                <w:sz w:val="22"/>
                <w:szCs w:val="22"/>
                <w:highlight w:val="none"/>
                <w:lang w:bidi="ar"/>
              </w:rPr>
              <w:t>注：</w:t>
            </w:r>
            <w:r>
              <w:rPr>
                <w:b/>
                <w:bCs/>
                <w:color w:val="auto"/>
                <w:sz w:val="22"/>
                <w:szCs w:val="22"/>
                <w:highlight w:val="none"/>
                <w:lang w:bidi="ar"/>
              </w:rPr>
              <w:t>须提供证书</w:t>
            </w:r>
            <w:r>
              <w:rPr>
                <w:rFonts w:hint="eastAsia"/>
                <w:b/>
                <w:bCs/>
                <w:color w:val="auto"/>
                <w:sz w:val="22"/>
                <w:szCs w:val="22"/>
                <w:highlight w:val="none"/>
                <w:lang w:val="en-US" w:eastAsia="zh-CN" w:bidi="ar"/>
              </w:rPr>
              <w:t>复印件加盖公章</w:t>
            </w:r>
            <w:r>
              <w:rPr>
                <w:b/>
                <w:bCs/>
                <w:color w:val="auto"/>
                <w:sz w:val="22"/>
                <w:szCs w:val="22"/>
                <w:highlight w:val="none"/>
                <w:lang w:bidi="ar"/>
              </w:rPr>
              <w:t>和认监委查询页面截图，</w:t>
            </w:r>
            <w:r>
              <w:rPr>
                <w:rFonts w:hint="eastAsia" w:asciiTheme="minorEastAsia" w:hAnsiTheme="minorEastAsia" w:eastAsiaTheme="minorEastAsia" w:cstheme="minorEastAsia"/>
                <w:b/>
                <w:bCs/>
                <w:color w:val="auto"/>
                <w:sz w:val="22"/>
                <w:szCs w:val="22"/>
                <w:highlight w:val="none"/>
              </w:rPr>
              <w:t>不提供或提供不全的不得分</w:t>
            </w:r>
            <w:r>
              <w:rPr>
                <w:b/>
                <w:bCs/>
                <w:color w:val="auto"/>
                <w:sz w:val="22"/>
                <w:szCs w:val="22"/>
                <w:highlight w:val="none"/>
                <w:lang w:bidi="ar"/>
              </w:rPr>
              <w:t>。</w:t>
            </w:r>
          </w:p>
        </w:tc>
        <w:tc>
          <w:tcPr>
            <w:tcW w:w="744" w:type="dxa"/>
            <w:vAlign w:val="center"/>
          </w:tcPr>
          <w:p>
            <w:pPr>
              <w:spacing w:line="300" w:lineRule="exact"/>
              <w:jc w:val="center"/>
              <w:rPr>
                <w:rFonts w:hint="eastAsia" w:ascii="宋体" w:hAnsi="宋体" w:eastAsia="宋体" w:cs="宋体"/>
                <w:color w:val="auto"/>
                <w:kern w:val="2"/>
                <w:sz w:val="22"/>
                <w:szCs w:val="22"/>
                <w:highlight w:val="none"/>
                <w:lang w:val="en-US" w:eastAsia="zh-CN" w:bidi="ar-SA"/>
              </w:rPr>
            </w:pPr>
            <w:r>
              <w:rPr>
                <w:rFonts w:hint="eastAsia" w:ascii="宋体" w:hAnsi="宋体" w:cs="宋体"/>
                <w:color w:val="auto"/>
                <w:sz w:val="22"/>
                <w:szCs w:val="22"/>
                <w:highlight w:val="none"/>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696" w:type="dxa"/>
            <w:vAlign w:val="center"/>
          </w:tcPr>
          <w:p>
            <w:pPr>
              <w:jc w:val="center"/>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3</w:t>
            </w:r>
          </w:p>
        </w:tc>
        <w:tc>
          <w:tcPr>
            <w:tcW w:w="1252" w:type="dxa"/>
            <w:vAlign w:val="center"/>
          </w:tcPr>
          <w:p>
            <w:pPr>
              <w:jc w:val="center"/>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设备性能指标</w:t>
            </w:r>
          </w:p>
        </w:tc>
        <w:tc>
          <w:tcPr>
            <w:tcW w:w="6783" w:type="dxa"/>
            <w:vAlign w:val="center"/>
          </w:tcPr>
          <w:p>
            <w:pPr>
              <w:spacing w:line="276" w:lineRule="auto"/>
              <w:outlineLvl w:val="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投标产品的技术参数及配置与需求的吻合程度和偏差情况（包括投标产品的规格、详细配置、主要技术参数等），需对采购需求中设备技术参数及配置相关要求逐条进行偏离情况说明。</w:t>
            </w:r>
            <w:r>
              <w:rPr>
                <w:rFonts w:hint="eastAsia" w:asciiTheme="minorEastAsia" w:hAnsiTheme="minorEastAsia" w:eastAsiaTheme="minorEastAsia" w:cstheme="minorEastAsia"/>
                <w:color w:val="auto"/>
                <w:sz w:val="22"/>
                <w:szCs w:val="22"/>
                <w:highlight w:val="none"/>
                <w:lang w:val="en-US" w:eastAsia="zh-CN"/>
              </w:rPr>
              <w:t>标记</w:t>
            </w:r>
            <w:r>
              <w:rPr>
                <w:rFonts w:hint="eastAsia" w:ascii="宋体" w:hAnsi="宋体" w:eastAsia="宋体" w:cs="宋体"/>
                <w:snapToGrid w:val="0"/>
                <w:color w:val="auto"/>
                <w:spacing w:val="0"/>
                <w:kern w:val="0"/>
                <w:sz w:val="22"/>
                <w:szCs w:val="22"/>
                <w:highlight w:val="none"/>
                <w:lang w:val="en-US" w:eastAsia="zh-CN"/>
              </w:rPr>
              <w:t>★</w:t>
            </w:r>
            <w:r>
              <w:rPr>
                <w:rFonts w:hint="eastAsia" w:asciiTheme="minorEastAsia" w:hAnsiTheme="minorEastAsia" w:eastAsiaTheme="minorEastAsia" w:cstheme="minorEastAsia"/>
                <w:color w:val="auto"/>
                <w:sz w:val="22"/>
                <w:szCs w:val="22"/>
                <w:highlight w:val="none"/>
              </w:rPr>
              <w:t>参数每负偏离一项，扣</w:t>
            </w:r>
            <w:r>
              <w:rPr>
                <w:rFonts w:hint="eastAsia" w:asciiTheme="minorEastAsia" w:hAnsiTheme="minorEastAsia" w:eastAsiaTheme="minorEastAsia" w:cstheme="minorEastAsia"/>
                <w:color w:val="auto"/>
                <w:sz w:val="22"/>
                <w:szCs w:val="22"/>
                <w:highlight w:val="none"/>
                <w:lang w:val="en-US" w:eastAsia="zh-CN"/>
              </w:rPr>
              <w:t>3</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eastAsiaTheme="minorEastAsia" w:cstheme="minorEastAsia"/>
                <w:color w:val="auto"/>
                <w:sz w:val="22"/>
                <w:szCs w:val="22"/>
                <w:highlight w:val="none"/>
                <w:lang w:val="en-US" w:eastAsia="zh-CN"/>
              </w:rPr>
              <w:t>其他参数每负偏离一项，扣1分，</w:t>
            </w:r>
            <w:r>
              <w:rPr>
                <w:rFonts w:hint="eastAsia" w:asciiTheme="minorEastAsia" w:hAnsiTheme="minorEastAsia" w:eastAsiaTheme="minorEastAsia" w:cstheme="minorEastAsia"/>
                <w:color w:val="auto"/>
                <w:sz w:val="22"/>
                <w:szCs w:val="22"/>
                <w:highlight w:val="none"/>
              </w:rPr>
              <w:t>本项扣完为止。</w:t>
            </w:r>
          </w:p>
          <w:p>
            <w:pP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color w:val="auto"/>
                <w:sz w:val="22"/>
                <w:szCs w:val="22"/>
                <w:highlight w:val="none"/>
              </w:rPr>
              <w:t>注：投标人需提供技术支持资料，包括制造商公开发布的资料（如制造商出具的产品规格表、产品宣传彩页、技术白皮书、说明书、网上公示的技术参数或检测机构出具的检测报告等）。</w:t>
            </w:r>
          </w:p>
        </w:tc>
        <w:tc>
          <w:tcPr>
            <w:tcW w:w="744" w:type="dxa"/>
            <w:vAlign w:val="center"/>
          </w:tcPr>
          <w:p>
            <w:pPr>
              <w:jc w:val="center"/>
              <w:rPr>
                <w:rFonts w:hint="default"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96" w:type="dxa"/>
            <w:vAlign w:val="center"/>
          </w:tcPr>
          <w:p>
            <w:pPr>
              <w:jc w:val="center"/>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4</w:t>
            </w:r>
          </w:p>
        </w:tc>
        <w:tc>
          <w:tcPr>
            <w:tcW w:w="1252" w:type="dxa"/>
            <w:vAlign w:val="center"/>
          </w:tcPr>
          <w:p>
            <w:pPr>
              <w:jc w:val="center"/>
              <w:rPr>
                <w:rFonts w:asciiTheme="minorEastAsia" w:hAnsiTheme="minorEastAsia" w:eastAsiaTheme="minorEastAsia" w:cstheme="minorEastAsia"/>
                <w:b/>
                <w:bCs/>
                <w:color w:val="auto"/>
                <w:kern w:val="2"/>
                <w:sz w:val="22"/>
                <w:szCs w:val="22"/>
                <w:highlight w:val="none"/>
                <w:lang w:val="en-US" w:eastAsia="zh-CN" w:bidi="ar-SA"/>
              </w:rPr>
            </w:pPr>
            <w:r>
              <w:rPr>
                <w:rFonts w:hint="eastAsia" w:asciiTheme="minorEastAsia" w:hAnsiTheme="minorEastAsia" w:eastAsiaTheme="minorEastAsia" w:cstheme="minorEastAsia"/>
                <w:b/>
                <w:bCs/>
                <w:color w:val="auto"/>
                <w:sz w:val="22"/>
                <w:szCs w:val="22"/>
                <w:highlight w:val="none"/>
              </w:rPr>
              <w:t>项目案例</w:t>
            </w:r>
          </w:p>
        </w:tc>
        <w:tc>
          <w:tcPr>
            <w:tcW w:w="6783" w:type="dxa"/>
            <w:vAlign w:val="center"/>
          </w:tcPr>
          <w:p>
            <w:pP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自</w:t>
            </w:r>
            <w:r>
              <w:rPr>
                <w:rFonts w:hint="eastAsia" w:asciiTheme="minorEastAsia" w:hAnsiTheme="minorEastAsia" w:eastAsiaTheme="minorEastAsia" w:cstheme="minorEastAsia"/>
                <w:color w:val="auto"/>
                <w:sz w:val="22"/>
                <w:szCs w:val="22"/>
                <w:highlight w:val="none"/>
                <w:lang w:eastAsia="zh-CN"/>
              </w:rPr>
              <w:t>2021年1月1日</w:t>
            </w:r>
            <w:r>
              <w:rPr>
                <w:rFonts w:hint="eastAsia" w:asciiTheme="minorEastAsia" w:hAnsiTheme="minorEastAsia" w:eastAsiaTheme="minorEastAsia" w:cstheme="minorEastAsia"/>
                <w:color w:val="auto"/>
                <w:sz w:val="22"/>
                <w:szCs w:val="22"/>
                <w:highlight w:val="none"/>
              </w:rPr>
              <w:t>以来（以合同签订时间为准），投标人</w:t>
            </w:r>
            <w:r>
              <w:rPr>
                <w:rFonts w:hint="eastAsia" w:asciiTheme="minorEastAsia" w:hAnsiTheme="minorEastAsia" w:eastAsiaTheme="minorEastAsia" w:cstheme="minorEastAsia"/>
                <w:color w:val="auto"/>
                <w:sz w:val="22"/>
                <w:szCs w:val="22"/>
                <w:highlight w:val="none"/>
                <w:lang w:val="en-US" w:eastAsia="zh-CN"/>
              </w:rPr>
              <w:t>同类项目</w:t>
            </w:r>
            <w:r>
              <w:rPr>
                <w:rFonts w:hint="eastAsia" w:asciiTheme="minorEastAsia" w:hAnsiTheme="minorEastAsia" w:eastAsiaTheme="minorEastAsia" w:cstheme="minorEastAsia"/>
                <w:color w:val="auto"/>
                <w:sz w:val="22"/>
                <w:szCs w:val="22"/>
                <w:highlight w:val="none"/>
              </w:rPr>
              <w:t>业绩的每个得</w:t>
            </w:r>
            <w:r>
              <w:rPr>
                <w:rFonts w:hint="eastAsia" w:asciiTheme="minorEastAsia" w:hAnsiTheme="minorEastAsia" w:eastAsiaTheme="minorEastAsia" w:cstheme="minorEastAsia"/>
                <w:color w:val="auto"/>
                <w:spacing w:val="-2"/>
                <w:sz w:val="22"/>
                <w:szCs w:val="22"/>
                <w:highlight w:val="none"/>
                <w:lang w:val="en-US" w:eastAsia="zh-CN"/>
              </w:rPr>
              <w:t>1</w:t>
            </w:r>
            <w:r>
              <w:rPr>
                <w:rFonts w:hint="eastAsia" w:asciiTheme="minorEastAsia" w:hAnsiTheme="minorEastAsia" w:eastAsiaTheme="minorEastAsia" w:cstheme="minorEastAsia"/>
                <w:color w:val="auto"/>
                <w:sz w:val="22"/>
                <w:szCs w:val="22"/>
                <w:highlight w:val="none"/>
              </w:rPr>
              <w:t>分，最高得</w:t>
            </w:r>
            <w:r>
              <w:rPr>
                <w:rFonts w:hint="eastAsia" w:asciiTheme="minorEastAsia" w:hAnsiTheme="minorEastAsia" w:eastAsiaTheme="minorEastAsia" w:cstheme="minorEastAsia"/>
                <w:color w:val="auto"/>
                <w:sz w:val="22"/>
                <w:szCs w:val="22"/>
                <w:highlight w:val="none"/>
                <w:lang w:val="en-US" w:eastAsia="zh-CN"/>
              </w:rPr>
              <w:t>6</w:t>
            </w:r>
            <w:r>
              <w:rPr>
                <w:rFonts w:hint="eastAsia" w:asciiTheme="minorEastAsia" w:hAnsiTheme="minorEastAsia" w:eastAsiaTheme="minorEastAsia" w:cstheme="minorEastAsia"/>
                <w:color w:val="auto"/>
                <w:sz w:val="22"/>
                <w:szCs w:val="22"/>
                <w:highlight w:val="none"/>
              </w:rPr>
              <w:t>分。</w:t>
            </w:r>
          </w:p>
          <w:p>
            <w:pPr>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b/>
                <w:bCs/>
                <w:color w:val="auto"/>
                <w:sz w:val="22"/>
                <w:szCs w:val="22"/>
                <w:highlight w:val="none"/>
              </w:rPr>
              <w:t>注：需提供中标通知书、合同及验收报告</w:t>
            </w:r>
            <w:r>
              <w:rPr>
                <w:rFonts w:hint="eastAsia" w:asciiTheme="minorEastAsia" w:hAnsiTheme="minorEastAsia" w:eastAsiaTheme="minorEastAsia" w:cstheme="minorEastAsia"/>
                <w:b/>
                <w:bCs/>
                <w:color w:val="auto"/>
                <w:sz w:val="22"/>
                <w:szCs w:val="22"/>
                <w:highlight w:val="none"/>
                <w:lang w:val="en-US" w:eastAsia="zh-CN"/>
              </w:rPr>
              <w:t>复印件加盖公章</w:t>
            </w:r>
            <w:r>
              <w:rPr>
                <w:rFonts w:hint="eastAsia" w:asciiTheme="minorEastAsia" w:hAnsiTheme="minorEastAsia" w:eastAsiaTheme="minorEastAsia" w:cstheme="minorEastAsia"/>
                <w:b/>
                <w:bCs/>
                <w:color w:val="auto"/>
                <w:sz w:val="22"/>
                <w:szCs w:val="22"/>
                <w:highlight w:val="none"/>
              </w:rPr>
              <w:t>，不提供或提供不全的不得分。</w:t>
            </w:r>
          </w:p>
        </w:tc>
        <w:tc>
          <w:tcPr>
            <w:tcW w:w="744" w:type="dxa"/>
            <w:vAlign w:val="center"/>
          </w:tcPr>
          <w:p>
            <w:pPr>
              <w:jc w:val="center"/>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696" w:type="dxa"/>
            <w:vAlign w:val="center"/>
          </w:tcPr>
          <w:p>
            <w:pPr>
              <w:jc w:val="center"/>
              <w:rPr>
                <w:rFonts w:hint="default"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5</w:t>
            </w:r>
          </w:p>
        </w:tc>
        <w:tc>
          <w:tcPr>
            <w:tcW w:w="1252" w:type="dxa"/>
            <w:vAlign w:val="center"/>
          </w:tcPr>
          <w:p>
            <w:pPr>
              <w:jc w:val="center"/>
              <w:rPr>
                <w:rFonts w:hint="eastAsia" w:asciiTheme="minorEastAsia" w:hAnsiTheme="minorEastAsia" w:eastAsiaTheme="minorEastAsia" w:cstheme="minorEastAsia"/>
                <w:b/>
                <w:bCs/>
                <w:color w:val="auto"/>
                <w:kern w:val="2"/>
                <w:sz w:val="22"/>
                <w:szCs w:val="22"/>
                <w:highlight w:val="none"/>
                <w:lang w:val="en-US" w:eastAsia="zh-CN" w:bidi="ar-SA"/>
              </w:rPr>
            </w:pPr>
            <w:r>
              <w:rPr>
                <w:rFonts w:hint="eastAsia" w:asciiTheme="minorEastAsia" w:hAnsiTheme="minorEastAsia" w:eastAsiaTheme="minorEastAsia" w:cstheme="minorEastAsia"/>
                <w:b/>
                <w:bCs/>
                <w:color w:val="auto"/>
                <w:sz w:val="22"/>
                <w:szCs w:val="22"/>
                <w:highlight w:val="none"/>
                <w:lang w:val="en-US" w:eastAsia="zh-CN"/>
              </w:rPr>
              <w:t>实施</w:t>
            </w:r>
            <w:r>
              <w:rPr>
                <w:rFonts w:hint="eastAsia" w:asciiTheme="minorEastAsia" w:hAnsiTheme="minorEastAsia" w:eastAsiaTheme="minorEastAsia" w:cstheme="minorEastAsia"/>
                <w:b/>
                <w:bCs/>
                <w:color w:val="auto"/>
                <w:sz w:val="22"/>
                <w:szCs w:val="22"/>
                <w:highlight w:val="none"/>
              </w:rPr>
              <w:t>方案</w:t>
            </w:r>
          </w:p>
        </w:tc>
        <w:tc>
          <w:tcPr>
            <w:tcW w:w="6783" w:type="dxa"/>
            <w:vAlign w:val="center"/>
          </w:tcPr>
          <w:p>
            <w:pPr>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rPr>
              <w:t>根据所投设备的供货流程、安装过程、调试、验收标准及方案（方案应具体、详细、可行，有利于项目实施；设计、安装、测试及验收标准应科学、合理，符合国家相关标准及规定）等进行打分。</w:t>
            </w:r>
            <w:r>
              <w:rPr>
                <w:rFonts w:hint="eastAsia" w:ascii="Arial" w:hAnsi="宋体" w:cs="Arial"/>
                <w:snapToGrid w:val="0"/>
                <w:color w:val="auto"/>
                <w:kern w:val="0"/>
                <w:sz w:val="21"/>
                <w:highlight w:val="none"/>
                <w:lang w:val="en-US" w:eastAsia="zh-CN"/>
              </w:rPr>
              <w:t>A档：7-5.1分，B档5-3.1分，C档3-0分。</w:t>
            </w:r>
          </w:p>
        </w:tc>
        <w:tc>
          <w:tcPr>
            <w:tcW w:w="744" w:type="dxa"/>
            <w:vAlign w:val="center"/>
          </w:tcPr>
          <w:p>
            <w:pPr>
              <w:jc w:val="center"/>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696" w:type="dxa"/>
            <w:vAlign w:val="center"/>
          </w:tcPr>
          <w:p>
            <w:pPr>
              <w:jc w:val="center"/>
              <w:rPr>
                <w:rFonts w:hint="default"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6</w:t>
            </w:r>
          </w:p>
        </w:tc>
        <w:tc>
          <w:tcPr>
            <w:tcW w:w="1252" w:type="dxa"/>
            <w:vAlign w:val="center"/>
          </w:tcPr>
          <w:p>
            <w:pPr>
              <w:pStyle w:val="32"/>
              <w:jc w:val="center"/>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kern w:val="2"/>
                <w:sz w:val="22"/>
                <w:szCs w:val="22"/>
                <w:highlight w:val="none"/>
                <w:lang w:val="en-US" w:eastAsia="zh-CN" w:bidi="ar-SA"/>
              </w:rPr>
              <w:t>质量保障措施</w:t>
            </w:r>
          </w:p>
        </w:tc>
        <w:tc>
          <w:tcPr>
            <w:tcW w:w="6783" w:type="dxa"/>
            <w:vAlign w:val="top"/>
          </w:tcPr>
          <w:p>
            <w:pPr>
              <w:spacing w:line="3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根据各投标人提供本项目</w:t>
            </w:r>
            <w:r>
              <w:rPr>
                <w:rFonts w:hint="eastAsia" w:asciiTheme="minorEastAsia" w:hAnsiTheme="minorEastAsia" w:eastAsiaTheme="minorEastAsia" w:cstheme="minorEastAsia"/>
                <w:b w:val="0"/>
                <w:bCs w:val="0"/>
                <w:color w:val="auto"/>
                <w:sz w:val="22"/>
                <w:szCs w:val="22"/>
                <w:highlight w:val="none"/>
              </w:rPr>
              <w:t>质量保证措施进行</w:t>
            </w:r>
            <w:r>
              <w:rPr>
                <w:rFonts w:hint="eastAsia" w:asciiTheme="minorEastAsia" w:hAnsiTheme="minorEastAsia" w:eastAsiaTheme="minorEastAsia" w:cstheme="minorEastAsia"/>
                <w:b w:val="0"/>
                <w:bCs w:val="0"/>
                <w:color w:val="auto"/>
                <w:sz w:val="22"/>
                <w:szCs w:val="22"/>
                <w:highlight w:val="none"/>
                <w:lang w:val="en-US" w:eastAsia="zh-CN"/>
              </w:rPr>
              <w:t>打分</w:t>
            </w:r>
            <w:r>
              <w:rPr>
                <w:rFonts w:hint="eastAsia" w:asciiTheme="minorEastAsia" w:hAnsiTheme="minorEastAsia" w:eastAsiaTheme="minorEastAsia" w:cstheme="minorEastAsia"/>
                <w:b w:val="0"/>
                <w:bCs w:val="0"/>
                <w:color w:val="auto"/>
                <w:sz w:val="22"/>
                <w:szCs w:val="22"/>
                <w:highlight w:val="none"/>
                <w:lang w:eastAsia="zh-CN"/>
              </w:rPr>
              <w:t>。</w:t>
            </w:r>
            <w:r>
              <w:rPr>
                <w:rFonts w:hint="eastAsia" w:ascii="Arial" w:hAnsi="宋体" w:cs="Arial"/>
                <w:snapToGrid w:val="0"/>
                <w:color w:val="auto"/>
                <w:kern w:val="0"/>
                <w:sz w:val="21"/>
                <w:highlight w:val="none"/>
                <w:lang w:val="en-US" w:eastAsia="zh-CN"/>
              </w:rPr>
              <w:t>A档：6-4.1分，B档4-2.1分，C档2-0分。</w:t>
            </w:r>
          </w:p>
        </w:tc>
        <w:tc>
          <w:tcPr>
            <w:tcW w:w="744" w:type="dxa"/>
            <w:vAlign w:val="center"/>
          </w:tcPr>
          <w:p>
            <w:pPr>
              <w:widowControl/>
              <w:jc w:val="center"/>
              <w:rPr>
                <w:rFonts w:hint="default"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b w:val="0"/>
                <w:bCs w:val="0"/>
                <w:color w:val="auto"/>
                <w:sz w:val="22"/>
                <w:szCs w:val="22"/>
                <w:highlight w:val="none"/>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696" w:type="dxa"/>
            <w:vAlign w:val="center"/>
          </w:tcPr>
          <w:p>
            <w:pPr>
              <w:jc w:val="center"/>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7</w:t>
            </w:r>
          </w:p>
        </w:tc>
        <w:tc>
          <w:tcPr>
            <w:tcW w:w="1252" w:type="dxa"/>
            <w:vAlign w:val="center"/>
          </w:tcPr>
          <w:p>
            <w:pPr>
              <w:jc w:val="center"/>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rPr>
              <w:t>售后服务</w:t>
            </w:r>
            <w:r>
              <w:rPr>
                <w:rFonts w:hint="eastAsia" w:asciiTheme="minorEastAsia" w:hAnsiTheme="minorEastAsia" w:eastAsiaTheme="minorEastAsia" w:cstheme="minorEastAsia"/>
                <w:b/>
                <w:bCs/>
                <w:color w:val="auto"/>
                <w:sz w:val="22"/>
                <w:szCs w:val="22"/>
                <w:highlight w:val="none"/>
                <w:lang w:val="en-US" w:eastAsia="zh-CN"/>
              </w:rPr>
              <w:t>响应</w:t>
            </w:r>
          </w:p>
        </w:tc>
        <w:tc>
          <w:tcPr>
            <w:tcW w:w="6783" w:type="dxa"/>
            <w:vAlign w:val="center"/>
          </w:tcPr>
          <w:p>
            <w:pP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根据各投标人提供本项目的售后方案，包括但不限于</w:t>
            </w:r>
            <w:r>
              <w:rPr>
                <w:rFonts w:hint="eastAsia" w:asciiTheme="minorEastAsia" w:hAnsiTheme="minorEastAsia" w:eastAsiaTheme="minorEastAsia" w:cstheme="minorEastAsia"/>
                <w:color w:val="auto"/>
                <w:sz w:val="22"/>
                <w:szCs w:val="22"/>
                <w:highlight w:val="none"/>
                <w:lang w:val="en-US" w:eastAsia="zh-CN"/>
              </w:rPr>
              <w:t>维修</w:t>
            </w:r>
            <w:r>
              <w:rPr>
                <w:rFonts w:hint="eastAsia" w:asciiTheme="minorEastAsia" w:hAnsiTheme="minorEastAsia" w:eastAsiaTheme="minorEastAsia" w:cstheme="minorEastAsia"/>
                <w:color w:val="auto"/>
                <w:sz w:val="22"/>
                <w:szCs w:val="22"/>
                <w:highlight w:val="none"/>
              </w:rPr>
              <w:t>服务响应时间、退换货机制、售后服务人员配置、售后服务点的技术力量、售后服务保障措施情况</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lang w:val="en-US" w:eastAsia="zh-CN"/>
              </w:rPr>
              <w:t>优惠承诺等</w:t>
            </w:r>
            <w:r>
              <w:rPr>
                <w:rFonts w:hint="eastAsia" w:asciiTheme="minorEastAsia" w:hAnsiTheme="minorEastAsia" w:eastAsiaTheme="minorEastAsia" w:cstheme="minorEastAsia"/>
                <w:color w:val="auto"/>
                <w:sz w:val="22"/>
                <w:szCs w:val="22"/>
                <w:highlight w:val="none"/>
              </w:rPr>
              <w:t>进行打分。</w:t>
            </w:r>
            <w:r>
              <w:rPr>
                <w:rFonts w:hint="eastAsia" w:ascii="Arial" w:hAnsi="宋体" w:cs="Arial"/>
                <w:snapToGrid w:val="0"/>
                <w:color w:val="auto"/>
                <w:kern w:val="0"/>
                <w:sz w:val="21"/>
                <w:highlight w:val="none"/>
                <w:lang w:val="en-US" w:eastAsia="zh-CN"/>
              </w:rPr>
              <w:t>A档：6-4.1分，B档4-2.1分，C档2-0分。</w:t>
            </w:r>
          </w:p>
        </w:tc>
        <w:tc>
          <w:tcPr>
            <w:tcW w:w="744" w:type="dxa"/>
            <w:vAlign w:val="center"/>
          </w:tcPr>
          <w:p>
            <w:pPr>
              <w:jc w:val="center"/>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696" w:type="dxa"/>
            <w:vAlign w:val="center"/>
          </w:tcPr>
          <w:p>
            <w:pPr>
              <w:jc w:val="center"/>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8</w:t>
            </w:r>
          </w:p>
        </w:tc>
        <w:tc>
          <w:tcPr>
            <w:tcW w:w="1252" w:type="dxa"/>
            <w:vAlign w:val="center"/>
          </w:tcPr>
          <w:p>
            <w:pPr>
              <w:jc w:val="center"/>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培训方案</w:t>
            </w:r>
          </w:p>
        </w:tc>
        <w:tc>
          <w:tcPr>
            <w:tcW w:w="6783" w:type="dxa"/>
            <w:vAlign w:val="center"/>
          </w:tcPr>
          <w:p>
            <w:pP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根据投标供应商针对本项目的培训计划进行打分。</w:t>
            </w:r>
            <w:r>
              <w:rPr>
                <w:rFonts w:hint="eastAsia" w:ascii="Arial" w:hAnsi="宋体" w:cs="Arial"/>
                <w:snapToGrid w:val="0"/>
                <w:color w:val="auto"/>
                <w:kern w:val="0"/>
                <w:sz w:val="21"/>
                <w:highlight w:val="none"/>
                <w:lang w:val="en-US" w:eastAsia="zh-CN"/>
              </w:rPr>
              <w:t>A档：6-4.1分，B档4-2.1分，C档2-0分。</w:t>
            </w:r>
          </w:p>
        </w:tc>
        <w:tc>
          <w:tcPr>
            <w:tcW w:w="744" w:type="dxa"/>
            <w:vAlign w:val="center"/>
          </w:tcPr>
          <w:p>
            <w:pPr>
              <w:jc w:val="center"/>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696" w:type="dxa"/>
            <w:vAlign w:val="center"/>
          </w:tcPr>
          <w:p>
            <w:pPr>
              <w:pStyle w:val="8"/>
              <w:jc w:val="center"/>
              <w:rPr>
                <w:rFonts w:hint="default"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9</w:t>
            </w:r>
          </w:p>
        </w:tc>
        <w:tc>
          <w:tcPr>
            <w:tcW w:w="1252" w:type="dxa"/>
            <w:vAlign w:val="center"/>
          </w:tcPr>
          <w:p>
            <w:pPr>
              <w:pStyle w:val="8"/>
              <w:jc w:val="center"/>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质保期</w:t>
            </w:r>
          </w:p>
        </w:tc>
        <w:tc>
          <w:tcPr>
            <w:tcW w:w="6783" w:type="dxa"/>
            <w:vAlign w:val="center"/>
          </w:tcPr>
          <w:p>
            <w:pP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zh-CN" w:eastAsia="zh-TW"/>
              </w:rPr>
              <w:t>本次采购要求质保期为</w:t>
            </w:r>
            <w:r>
              <w:rPr>
                <w:rFonts w:hint="eastAsia" w:asciiTheme="minorEastAsia" w:hAnsiTheme="minorEastAsia" w:eastAsiaTheme="minorEastAsia" w:cstheme="minorEastAsia"/>
                <w:color w:val="auto"/>
                <w:sz w:val="22"/>
                <w:szCs w:val="22"/>
                <w:highlight w:val="none"/>
                <w:lang w:val="en-US" w:eastAsia="zh-CN"/>
              </w:rPr>
              <w:t>2</w:t>
            </w:r>
            <w:r>
              <w:rPr>
                <w:rFonts w:hint="eastAsia" w:asciiTheme="minorEastAsia" w:hAnsiTheme="minorEastAsia" w:eastAsiaTheme="minorEastAsia" w:cstheme="minorEastAsia"/>
                <w:color w:val="auto"/>
                <w:sz w:val="22"/>
                <w:szCs w:val="22"/>
                <w:highlight w:val="none"/>
                <w:lang w:val="zh-CN" w:eastAsia="zh-TW"/>
              </w:rPr>
              <w:t>年，刚好满足采购要求的不得分；每</w:t>
            </w:r>
            <w:r>
              <w:rPr>
                <w:rFonts w:hint="eastAsia" w:asciiTheme="minorEastAsia" w:hAnsiTheme="minorEastAsia" w:eastAsiaTheme="minorEastAsia" w:cstheme="minorEastAsia"/>
                <w:color w:val="auto"/>
                <w:sz w:val="22"/>
                <w:szCs w:val="22"/>
                <w:highlight w:val="none"/>
                <w:lang w:val="en-US" w:eastAsia="zh-CN"/>
              </w:rPr>
              <w:t>半</w:t>
            </w:r>
            <w:r>
              <w:rPr>
                <w:rFonts w:hint="eastAsia" w:asciiTheme="minorEastAsia" w:hAnsiTheme="minorEastAsia" w:eastAsiaTheme="minorEastAsia" w:cstheme="minorEastAsia"/>
                <w:color w:val="auto"/>
                <w:sz w:val="22"/>
                <w:szCs w:val="22"/>
                <w:highlight w:val="none"/>
                <w:lang w:val="zh-CN" w:eastAsia="zh-TW"/>
              </w:rPr>
              <w:t>年得</w:t>
            </w:r>
            <w:r>
              <w:rPr>
                <w:rFonts w:hint="eastAsia" w:asciiTheme="minorEastAsia" w:hAnsiTheme="minorEastAsia" w:eastAsiaTheme="minorEastAsia" w:cstheme="minorEastAsia"/>
                <w:color w:val="auto"/>
                <w:sz w:val="22"/>
                <w:szCs w:val="22"/>
                <w:highlight w:val="none"/>
                <w:lang w:val="en-US" w:eastAsia="zh-CN"/>
              </w:rPr>
              <w:t>2</w:t>
            </w:r>
            <w:r>
              <w:rPr>
                <w:rFonts w:hint="eastAsia" w:asciiTheme="minorEastAsia" w:hAnsiTheme="minorEastAsia" w:eastAsiaTheme="minorEastAsia" w:cstheme="minorEastAsia"/>
                <w:color w:val="auto"/>
                <w:sz w:val="22"/>
                <w:szCs w:val="22"/>
                <w:highlight w:val="none"/>
                <w:lang w:val="zh-CN" w:eastAsia="zh-TW"/>
              </w:rPr>
              <w:t>分，最高得</w:t>
            </w:r>
            <w:r>
              <w:rPr>
                <w:rFonts w:hint="eastAsia" w:asciiTheme="minorEastAsia" w:hAnsiTheme="minorEastAsia" w:eastAsiaTheme="minorEastAsia" w:cstheme="minorEastAsia"/>
                <w:color w:val="auto"/>
                <w:sz w:val="22"/>
                <w:szCs w:val="22"/>
                <w:highlight w:val="none"/>
                <w:lang w:val="en-US" w:eastAsia="zh-CN"/>
              </w:rPr>
              <w:t>4</w:t>
            </w:r>
            <w:r>
              <w:rPr>
                <w:rFonts w:hint="eastAsia" w:asciiTheme="minorEastAsia" w:hAnsiTheme="minorEastAsia" w:eastAsiaTheme="minorEastAsia" w:cstheme="minorEastAsia"/>
                <w:color w:val="auto"/>
                <w:sz w:val="22"/>
                <w:szCs w:val="22"/>
                <w:highlight w:val="none"/>
                <w:lang w:val="zh-CN" w:eastAsia="zh-TW"/>
              </w:rPr>
              <w:t>分</w:t>
            </w:r>
            <w:r>
              <w:rPr>
                <w:rFonts w:hint="eastAsia" w:asciiTheme="minorEastAsia" w:hAnsiTheme="minorEastAsia" w:eastAsiaTheme="minorEastAsia" w:cstheme="minorEastAsia"/>
                <w:b/>
                <w:bCs/>
                <w:color w:val="auto"/>
                <w:sz w:val="22"/>
                <w:szCs w:val="22"/>
                <w:highlight w:val="none"/>
                <w:lang w:val="zh-CN" w:eastAsia="zh-TW"/>
              </w:rPr>
              <w:t>（需提供有效书面承诺</w:t>
            </w:r>
            <w:r>
              <w:rPr>
                <w:rFonts w:hint="eastAsia" w:asciiTheme="minorEastAsia" w:hAnsiTheme="minorEastAsia" w:eastAsiaTheme="minorEastAsia" w:cstheme="minorEastAsia"/>
                <w:b/>
                <w:bCs/>
                <w:color w:val="auto"/>
                <w:sz w:val="22"/>
                <w:szCs w:val="22"/>
                <w:highlight w:val="none"/>
                <w:lang w:val="zh-TW" w:eastAsia="zh-TW"/>
              </w:rPr>
              <w:t>并加盖公章</w:t>
            </w:r>
            <w:r>
              <w:rPr>
                <w:rFonts w:hint="eastAsia" w:asciiTheme="minorEastAsia" w:hAnsiTheme="minorEastAsia" w:eastAsiaTheme="minorEastAsia" w:cstheme="minorEastAsia"/>
                <w:b/>
                <w:bCs/>
                <w:color w:val="auto"/>
                <w:sz w:val="22"/>
                <w:szCs w:val="22"/>
                <w:highlight w:val="none"/>
                <w:lang w:val="zh-CN" w:eastAsia="zh-TW"/>
              </w:rPr>
              <w:t>）</w:t>
            </w:r>
            <w:r>
              <w:rPr>
                <w:rFonts w:hint="eastAsia" w:asciiTheme="minorEastAsia" w:hAnsiTheme="minorEastAsia" w:eastAsiaTheme="minorEastAsia" w:cstheme="minorEastAsia"/>
                <w:color w:val="auto"/>
                <w:sz w:val="22"/>
                <w:szCs w:val="22"/>
                <w:highlight w:val="none"/>
                <w:lang w:val="zh-CN" w:eastAsia="zh-TW"/>
              </w:rPr>
              <w:t>。</w:t>
            </w:r>
          </w:p>
        </w:tc>
        <w:tc>
          <w:tcPr>
            <w:tcW w:w="744" w:type="dxa"/>
            <w:vAlign w:val="center"/>
          </w:tcPr>
          <w:p>
            <w:pPr>
              <w:jc w:val="center"/>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0-4</w:t>
            </w:r>
          </w:p>
        </w:tc>
      </w:tr>
    </w:tbl>
    <w:p>
      <w:pPr>
        <w:pStyle w:val="17"/>
        <w:spacing w:after="0" w:line="460" w:lineRule="exact"/>
        <w:ind w:firstLine="440" w:firstLineChars="200"/>
        <w:rPr>
          <w:rFonts w:ascii="新宋体" w:hAnsi="新宋体" w:eastAsia="新宋体" w:cs="宋体"/>
          <w:bCs/>
          <w:color w:val="auto"/>
          <w:sz w:val="22"/>
          <w:szCs w:val="22"/>
          <w:highlight w:val="none"/>
        </w:rPr>
      </w:pPr>
      <w:r>
        <w:rPr>
          <w:rFonts w:hint="eastAsia" w:ascii="新宋体" w:hAnsi="新宋体" w:eastAsia="新宋体" w:cs="宋体"/>
          <w:bCs/>
          <w:color w:val="auto"/>
          <w:sz w:val="22"/>
          <w:szCs w:val="22"/>
          <w:highlight w:val="none"/>
        </w:rPr>
        <w:t>注：</w:t>
      </w:r>
    </w:p>
    <w:p>
      <w:pPr>
        <w:pStyle w:val="17"/>
        <w:spacing w:after="0" w:line="460" w:lineRule="exact"/>
        <w:ind w:firstLine="440" w:firstLineChars="200"/>
        <w:rPr>
          <w:rFonts w:ascii="新宋体" w:hAnsi="新宋体" w:eastAsia="新宋体" w:cs="宋体"/>
          <w:bCs/>
          <w:color w:val="auto"/>
          <w:sz w:val="22"/>
          <w:szCs w:val="22"/>
          <w:highlight w:val="none"/>
        </w:rPr>
      </w:pPr>
      <w:r>
        <w:rPr>
          <w:rFonts w:hint="eastAsia" w:ascii="新宋体" w:hAnsi="新宋体" w:eastAsia="新宋体" w:cs="宋体"/>
          <w:bCs/>
          <w:color w:val="auto"/>
          <w:sz w:val="22"/>
          <w:szCs w:val="22"/>
          <w:highlight w:val="none"/>
        </w:rPr>
        <w:t>（1）以上所需的各种证书、证件、证明、执照若系复印件，须在复印件上加盖投标人有效的公章。证书、证件、证明等原件，属备查项目，并非强制性要求。评标主要依据投标人投标文件中加盖有效公章的证书/证明文件复印件，如评标委员会对复印件有异议的，可在投标人提供原件资料里核查，若投标人未提供原件资料佐证的，则承担相应评分项不得分的风险。</w:t>
      </w:r>
    </w:p>
    <w:p>
      <w:pPr>
        <w:pStyle w:val="17"/>
        <w:spacing w:after="0" w:line="460" w:lineRule="exact"/>
        <w:ind w:firstLine="440" w:firstLineChars="200"/>
        <w:rPr>
          <w:rFonts w:ascii="新宋体" w:hAnsi="新宋体" w:eastAsia="新宋体" w:cs="宋体"/>
          <w:bCs/>
          <w:color w:val="auto"/>
          <w:sz w:val="22"/>
          <w:szCs w:val="22"/>
          <w:highlight w:val="none"/>
        </w:rPr>
      </w:pPr>
      <w:r>
        <w:rPr>
          <w:rFonts w:hint="eastAsia" w:ascii="新宋体" w:hAnsi="新宋体" w:eastAsia="新宋体" w:cs="宋体"/>
          <w:bCs/>
          <w:color w:val="auto"/>
          <w:sz w:val="22"/>
          <w:szCs w:val="22"/>
          <w:highlight w:val="none"/>
        </w:rPr>
        <w:t>（2）评标委员会、采购机构在项目评审直至合同签订、履约期间，有权要求投标人出具投标文件中的合同文本原件，予以确认其的真实性和有效性，如出现与事实不符等情况，将根据有关规定以“提供虚假材料谋取中标”予以处理。</w:t>
      </w:r>
    </w:p>
    <w:p>
      <w:pPr>
        <w:pStyle w:val="17"/>
        <w:spacing w:after="0" w:line="460" w:lineRule="exact"/>
        <w:ind w:firstLine="440" w:firstLineChars="200"/>
        <w:rPr>
          <w:rFonts w:ascii="新宋体" w:hAnsi="新宋体" w:eastAsia="新宋体" w:cs="宋体"/>
          <w:bCs/>
          <w:color w:val="auto"/>
          <w:sz w:val="22"/>
          <w:szCs w:val="22"/>
          <w:highlight w:val="none"/>
        </w:rPr>
      </w:pPr>
      <w:r>
        <w:rPr>
          <w:rFonts w:hint="eastAsia" w:ascii="新宋体" w:hAnsi="新宋体" w:eastAsia="新宋体" w:cs="宋体"/>
          <w:bCs/>
          <w:color w:val="auto"/>
          <w:sz w:val="22"/>
          <w:szCs w:val="22"/>
          <w:highlight w:val="none"/>
        </w:rPr>
        <w:t>（3）技术评分标准中，“A”档以该分项方案/措施的表述详尽、科学、操作性强、可信度高等为划分标准；“B”档以该分项方案/措施的表述细致度、可操作性、科学性等方面满足采购需求基本要求为划分标准；“C”档以该分项方案/措施的表述细致度、可操作性、科学性等方面较差为划分标准。</w:t>
      </w:r>
    </w:p>
    <w:p>
      <w:pPr>
        <w:pStyle w:val="17"/>
        <w:spacing w:after="0" w:line="460" w:lineRule="exact"/>
        <w:ind w:firstLine="440" w:firstLineChars="200"/>
        <w:rPr>
          <w:rFonts w:ascii="新宋体" w:hAnsi="新宋体" w:eastAsia="新宋体" w:cs="宋体"/>
          <w:bCs/>
          <w:color w:val="auto"/>
          <w:sz w:val="22"/>
          <w:szCs w:val="22"/>
          <w:highlight w:val="none"/>
        </w:rPr>
      </w:pPr>
      <w:r>
        <w:rPr>
          <w:rFonts w:hint="eastAsia" w:ascii="新宋体" w:hAnsi="新宋体" w:eastAsia="新宋体" w:cs="宋体"/>
          <w:bCs/>
          <w:color w:val="auto"/>
          <w:sz w:val="22"/>
          <w:szCs w:val="22"/>
          <w:highlight w:val="none"/>
        </w:rPr>
        <w:t>（4）以上评分保留小数1位（四舍五入）。</w:t>
      </w:r>
    </w:p>
    <w:p>
      <w:pPr>
        <w:pStyle w:val="17"/>
        <w:spacing w:after="0" w:line="460" w:lineRule="exact"/>
        <w:ind w:firstLine="440" w:firstLineChars="200"/>
        <w:rPr>
          <w:rFonts w:ascii="新宋体" w:hAnsi="新宋体" w:eastAsia="新宋体" w:cs="宋体"/>
          <w:bCs/>
          <w:color w:val="auto"/>
          <w:sz w:val="22"/>
          <w:szCs w:val="22"/>
          <w:highlight w:val="none"/>
        </w:rPr>
      </w:pPr>
      <w:r>
        <w:rPr>
          <w:rFonts w:hint="eastAsia" w:ascii="新宋体" w:hAnsi="新宋体" w:eastAsia="新宋体" w:cs="宋体"/>
          <w:bCs/>
          <w:color w:val="auto"/>
          <w:sz w:val="22"/>
          <w:szCs w:val="22"/>
          <w:highlight w:val="none"/>
        </w:rPr>
        <w:t>（5）投标文件未提供评分项目内容的，该项按零分处理，且不受最低分值限制。</w:t>
      </w:r>
    </w:p>
    <w:p>
      <w:pPr>
        <w:numPr>
          <w:ilvl w:val="0"/>
          <w:numId w:val="13"/>
        </w:numPr>
        <w:spacing w:line="460" w:lineRule="exact"/>
        <w:ind w:firstLine="0"/>
        <w:rPr>
          <w:rFonts w:ascii="新宋体" w:hAnsi="新宋体" w:eastAsia="新宋体" w:cs="新宋体"/>
          <w:b/>
          <w:bCs/>
          <w:color w:val="auto"/>
          <w:sz w:val="22"/>
          <w:szCs w:val="22"/>
          <w:highlight w:val="none"/>
        </w:rPr>
      </w:pPr>
      <w:r>
        <w:rPr>
          <w:rFonts w:hint="eastAsia" w:ascii="新宋体" w:hAnsi="新宋体" w:eastAsia="新宋体" w:cs="新宋体"/>
          <w:color w:val="auto"/>
          <w:sz w:val="22"/>
          <w:szCs w:val="22"/>
          <w:highlight w:val="none"/>
        </w:rPr>
        <w:tab/>
      </w:r>
      <w:r>
        <w:rPr>
          <w:rFonts w:hint="eastAsia" w:ascii="新宋体" w:hAnsi="新宋体" w:eastAsia="新宋体" w:cs="新宋体"/>
          <w:b/>
          <w:bCs/>
          <w:color w:val="auto"/>
          <w:sz w:val="22"/>
          <w:szCs w:val="22"/>
          <w:highlight w:val="none"/>
        </w:rPr>
        <w:t>商务评分（30分）：</w:t>
      </w:r>
    </w:p>
    <w:p>
      <w:pPr>
        <w:spacing w:line="460" w:lineRule="exact"/>
        <w:ind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满足采购文件要求且投标报价的最低价作为评标基准价；</w:t>
      </w:r>
    </w:p>
    <w:p>
      <w:pPr>
        <w:numPr>
          <w:ilvl w:val="0"/>
          <w:numId w:val="14"/>
        </w:numPr>
        <w:spacing w:line="460" w:lineRule="exact"/>
        <w:rPr>
          <w:rFonts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有效投标人的投标报价等于评标基准价时，其最终报价评分值为满分30分；</w:t>
      </w:r>
    </w:p>
    <w:p>
      <w:pPr>
        <w:numPr>
          <w:ilvl w:val="0"/>
          <w:numId w:val="14"/>
        </w:numPr>
        <w:spacing w:line="460" w:lineRule="exact"/>
        <w:rPr>
          <w:rFonts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其他投标人的价格分按以下公式计算：</w:t>
      </w:r>
    </w:p>
    <w:p>
      <w:pPr>
        <w:spacing w:line="460" w:lineRule="exact"/>
        <w:ind w:left="400" w:firstLine="440" w:firstLineChars="200"/>
        <w:rPr>
          <w:rFonts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商务分得分=（评审基准价/投标人投标报价）×价格权值×100（四舍五入后保留小数2位，价格权值为30%）</w:t>
      </w:r>
    </w:p>
    <w:p>
      <w:pPr>
        <w:numPr>
          <w:ilvl w:val="0"/>
          <w:numId w:val="14"/>
        </w:numPr>
        <w:spacing w:line="460" w:lineRule="exact"/>
        <w:rPr>
          <w:rFonts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如投标人报价超过项目采购预算金额</w:t>
      </w:r>
      <w:r>
        <w:rPr>
          <w:rFonts w:hint="eastAsia" w:ascii="新宋体" w:hAnsi="新宋体" w:eastAsia="新宋体" w:cs="新宋体"/>
          <w:bCs/>
          <w:color w:val="auto"/>
          <w:kern w:val="0"/>
          <w:sz w:val="22"/>
          <w:szCs w:val="22"/>
          <w:highlight w:val="none"/>
          <w:lang w:val="en-US" w:eastAsia="zh-CN"/>
        </w:rPr>
        <w:t>或投标限价</w:t>
      </w:r>
      <w:r>
        <w:rPr>
          <w:rFonts w:hint="eastAsia" w:ascii="新宋体" w:hAnsi="新宋体" w:eastAsia="新宋体" w:cs="新宋体"/>
          <w:bCs/>
          <w:color w:val="auto"/>
          <w:kern w:val="0"/>
          <w:sz w:val="22"/>
          <w:szCs w:val="22"/>
          <w:highlight w:val="none"/>
        </w:rPr>
        <w:t>，其投标文件作无效标处理。</w:t>
      </w:r>
    </w:p>
    <w:p>
      <w:pPr>
        <w:numPr>
          <w:ilvl w:val="0"/>
          <w:numId w:val="14"/>
        </w:numPr>
        <w:spacing w:line="460" w:lineRule="exact"/>
        <w:rPr>
          <w:rFonts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所有投标人商务报价均超过项目采购预算金额</w:t>
      </w:r>
      <w:r>
        <w:rPr>
          <w:rFonts w:hint="eastAsia" w:ascii="新宋体" w:hAnsi="新宋体" w:eastAsia="新宋体" w:cs="新宋体"/>
          <w:bCs/>
          <w:color w:val="auto"/>
          <w:kern w:val="0"/>
          <w:sz w:val="22"/>
          <w:szCs w:val="22"/>
          <w:highlight w:val="none"/>
          <w:lang w:val="en-US" w:eastAsia="zh-CN"/>
        </w:rPr>
        <w:t>或投标限价的</w:t>
      </w:r>
      <w:r>
        <w:rPr>
          <w:rFonts w:hint="eastAsia" w:ascii="新宋体" w:hAnsi="新宋体" w:eastAsia="新宋体" w:cs="新宋体"/>
          <w:bCs/>
          <w:color w:val="auto"/>
          <w:kern w:val="0"/>
          <w:sz w:val="22"/>
          <w:szCs w:val="22"/>
          <w:highlight w:val="none"/>
        </w:rPr>
        <w:t>，项目按流（废）标处理，重新组织采购程序。</w:t>
      </w:r>
    </w:p>
    <w:p>
      <w:pPr>
        <w:numPr>
          <w:ilvl w:val="0"/>
          <w:numId w:val="14"/>
        </w:numPr>
        <w:spacing w:line="46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kern w:val="0"/>
          <w:sz w:val="22"/>
          <w:szCs w:val="22"/>
          <w:highlight w:val="none"/>
        </w:rPr>
        <w:t>本项目采购预算金额为</w:t>
      </w:r>
      <w:r>
        <w:rPr>
          <w:rFonts w:hint="eastAsia" w:ascii="新宋体" w:hAnsi="新宋体" w:eastAsia="新宋体" w:cs="新宋体"/>
          <w:bCs/>
          <w:color w:val="auto"/>
          <w:kern w:val="0"/>
          <w:sz w:val="22"/>
          <w:szCs w:val="22"/>
          <w:highlight w:val="none"/>
          <w:lang w:val="en-US" w:eastAsia="zh-CN"/>
        </w:rPr>
        <w:t>9</w:t>
      </w:r>
      <w:r>
        <w:rPr>
          <w:rFonts w:hint="eastAsia" w:ascii="新宋体" w:hAnsi="新宋体" w:eastAsia="新宋体" w:cs="新宋体"/>
          <w:bCs/>
          <w:color w:val="auto"/>
          <w:kern w:val="0"/>
          <w:sz w:val="22"/>
          <w:szCs w:val="22"/>
          <w:highlight w:val="none"/>
        </w:rPr>
        <w:t>0万元</w:t>
      </w:r>
      <w:r>
        <w:rPr>
          <w:rFonts w:hint="eastAsia" w:ascii="新宋体" w:hAnsi="新宋体" w:eastAsia="新宋体" w:cs="新宋体"/>
          <w:bCs/>
          <w:color w:val="auto"/>
          <w:kern w:val="0"/>
          <w:sz w:val="22"/>
          <w:szCs w:val="22"/>
          <w:highlight w:val="none"/>
          <w:lang w:val="en-US" w:eastAsia="zh-CN"/>
        </w:rPr>
        <w:t>整,最高限价70万元整</w:t>
      </w:r>
      <w:r>
        <w:rPr>
          <w:rFonts w:hint="eastAsia" w:ascii="新宋体" w:hAnsi="新宋体" w:eastAsia="新宋体" w:cs="新宋体"/>
          <w:bCs/>
          <w:color w:val="auto"/>
          <w:kern w:val="0"/>
          <w:sz w:val="22"/>
          <w:szCs w:val="22"/>
          <w:highlight w:val="none"/>
        </w:rPr>
        <w:t>。</w:t>
      </w:r>
    </w:p>
    <w:p>
      <w:pPr>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3.有效投标人的综合得分为技术资信分和商务（报价）分的总和。</w:t>
      </w:r>
    </w:p>
    <w:p>
      <w:pPr>
        <w:spacing w:line="460" w:lineRule="exact"/>
        <w:rPr>
          <w:rFonts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rPr>
        <w:t>4.评标委员会依据法律、法规及采购文件有关规定在有效标中按投标人的最终得分（即技术分与商务分之和）高低进行排序，得分前两名的投标人推荐为中标候选人与备选中标人（得分相同投标报价低的排序优先；得分且投标报价相同的，由评委抽签决定排序）。</w:t>
      </w:r>
    </w:p>
    <w:p>
      <w:pPr>
        <w:pStyle w:val="17"/>
        <w:ind w:firstLine="0" w:firstLineChars="0"/>
        <w:rPr>
          <w:rFonts w:eastAsia="宋体"/>
          <w:color w:val="auto"/>
          <w:highlight w:val="none"/>
        </w:rPr>
      </w:pPr>
    </w:p>
    <w:p>
      <w:pPr>
        <w:rPr>
          <w:color w:val="auto"/>
          <w:highlight w:val="none"/>
        </w:rPr>
      </w:pPr>
    </w:p>
    <w:sectPr>
      <w:footerReference r:id="rId8" w:type="default"/>
      <w:type w:val="nextColumn"/>
      <w:pgSz w:w="11906" w:h="16838"/>
      <w:pgMar w:top="1134" w:right="1134" w:bottom="1134" w:left="1134"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隶书">
    <w:panose1 w:val="0201050906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Yu Mincho Light">
    <w:altName w:val="Yu Gothic"/>
    <w:panose1 w:val="00000000000000000000"/>
    <w:charset w:val="80"/>
    <w:family w:val="roman"/>
    <w:pitch w:val="default"/>
    <w:sig w:usb0="00000000" w:usb1="00000000" w:usb2="00000012" w:usb3="00000000" w:csb0="000200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1"/>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top w:val="single" w:color="auto" w:sz="4" w:space="0"/>
      </w:pBdr>
      <w:jc w:val="right"/>
    </w:pPr>
    <w:r>
      <w:rPr>
        <w:rFonts w:hint="eastAsia" w:eastAsia="宋体"/>
      </w:rPr>
      <w:t>温州市智信招标代理有限公司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top w:val="single" w:color="auto" w:sz="4" w:space="0"/>
      </w:pBdr>
      <w:jc w:val="right"/>
    </w:pPr>
    <w:r>
      <mc:AlternateContent>
        <mc:Choice Requires="wps">
          <w:drawing>
            <wp:anchor distT="0" distB="0" distL="114300" distR="114300" simplePos="0" relativeHeight="251659264" behindDoc="0" locked="0" layoutInCell="1" allowOverlap="1">
              <wp:simplePos x="0" y="0"/>
              <wp:positionH relativeFrom="margin">
                <wp:posOffset>3006090</wp:posOffset>
              </wp:positionH>
              <wp:positionV relativeFrom="paragraph">
                <wp:posOffset>0</wp:posOffset>
              </wp:positionV>
              <wp:extent cx="205740" cy="131445"/>
              <wp:effectExtent l="0" t="0" r="0" b="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05740" cy="131445"/>
                      </a:xfrm>
                      <a:prstGeom prst="rect">
                        <a:avLst/>
                      </a:prstGeom>
                      <a:noFill/>
                      <a:ln>
                        <a:noFill/>
                      </a:ln>
                      <a:effectLst/>
                    </wps:spPr>
                    <wps:txbx>
                      <w:txbxContent>
                        <w:p>
                          <w:pPr>
                            <w:pStyle w:val="11"/>
                            <w:rPr>
                              <w:rFonts w:eastAsia="宋体"/>
                            </w:rPr>
                          </w:pPr>
                          <w:r>
                            <w:fldChar w:fldCharType="begin"/>
                          </w:r>
                          <w:r>
                            <w:instrText xml:space="preserve"> PAGE  \* MERGEFORMAT </w:instrText>
                          </w:r>
                          <w:r>
                            <w:fldChar w:fldCharType="separate"/>
                          </w:r>
                          <w:r>
                            <w:t>21</w:t>
                          </w:r>
                          <w:r>
                            <w:fldChar w:fldCharType="end"/>
                          </w:r>
                        </w:p>
                      </w:txbxContent>
                    </wps:txbx>
                    <wps:bodyPr rot="0" vert="horz" wrap="square" lIns="0" tIns="0" rIns="0" bIns="0" anchor="t" anchorCtr="0" upright="1">
                      <a:spAutoFit/>
                    </wps:bodyPr>
                  </wps:wsp>
                </a:graphicData>
              </a:graphic>
            </wp:anchor>
          </w:drawing>
        </mc:Choice>
        <mc:Fallback>
          <w:pict>
            <v:shape id="_x0000_s1026" o:spid="_x0000_s1026" o:spt="202" type="#_x0000_t202" style="position:absolute;left:0pt;margin-left:236.7pt;margin-top:0pt;height:10.35pt;width:16.2pt;mso-position-horizontal-relative:margin;z-index:251659264;mso-width-relative:page;mso-height-relative:page;" filled="f" stroked="f" coordsize="21600,21600" o:gfxdata="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c3IowdUAAAAHAQAADwAAAAAAAAABACAA&#10;AAAiAAAAZHJzL2Rvd25yZXYueG1sUEsBAhQAFAAAAAgAh07iQGtNsVcQAgAAEgQAAA4AAAAAAAAA&#10;AQAgAAAAJAEAAGRycy9lMm9Eb2MueG1sUEsFBgAAAAAGAAYAWQEAAKYFAAAAAA==&#10;">
              <v:fill on="f" focussize="0,0"/>
              <v:stroke on="f"/>
              <v:imagedata o:title=""/>
              <o:lock v:ext="edit" aspectratio="f"/>
              <v:textbox inset="0mm,0mm,0mm,0mm" style="mso-fit-shape-to-text:t;">
                <w:txbxContent>
                  <w:p>
                    <w:pPr>
                      <w:pStyle w:val="11"/>
                      <w:rPr>
                        <w:rFonts w:eastAsia="宋体"/>
                      </w:rPr>
                    </w:pPr>
                    <w:r>
                      <w:fldChar w:fldCharType="begin"/>
                    </w:r>
                    <w:r>
                      <w:instrText xml:space="preserve"> PAGE  \* MERGEFORMAT </w:instrText>
                    </w:r>
                    <w:r>
                      <w:fldChar w:fldCharType="separate"/>
                    </w:r>
                    <w:r>
                      <w:t>21</w:t>
                    </w:r>
                    <w:r>
                      <w:fldChar w:fldCharType="end"/>
                    </w:r>
                  </w:p>
                </w:txbxContent>
              </v:textbox>
            </v:shape>
          </w:pict>
        </mc:Fallback>
      </mc:AlternateContent>
    </w:r>
    <w:r>
      <w:rPr>
        <w:rFonts w:hint="eastAsia" w:eastAsia="宋体"/>
      </w:rPr>
      <w:t>温州市智信招标代理有限公司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both"/>
      <w:rPr>
        <w:rFonts w:eastAsia="宋体"/>
      </w:rPr>
    </w:pPr>
    <w:r>
      <w:rPr>
        <w:rFonts w:hint="eastAsia" w:eastAsia="宋体"/>
      </w:rPr>
      <w:t>温州市国有企业采购文件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A5598B"/>
    <w:multiLevelType w:val="singleLevel"/>
    <w:tmpl w:val="82A5598B"/>
    <w:lvl w:ilvl="0" w:tentative="0">
      <w:start w:val="1"/>
      <w:numFmt w:val="chineseCounting"/>
      <w:suff w:val="nothing"/>
      <w:lvlText w:val="%1、"/>
      <w:lvlJc w:val="left"/>
      <w:pPr>
        <w:ind w:left="0" w:firstLine="420"/>
      </w:pPr>
      <w:rPr>
        <w:rFonts w:hint="eastAsia"/>
        <w:b w:val="0"/>
        <w:bCs w:val="0"/>
      </w:rPr>
    </w:lvl>
  </w:abstractNum>
  <w:abstractNum w:abstractNumId="1">
    <w:nsid w:val="839ADE7E"/>
    <w:multiLevelType w:val="singleLevel"/>
    <w:tmpl w:val="839ADE7E"/>
    <w:lvl w:ilvl="0" w:tentative="0">
      <w:start w:val="1"/>
      <w:numFmt w:val="decimal"/>
      <w:suff w:val="nothing"/>
      <w:lvlText w:val="%1．"/>
      <w:lvlJc w:val="left"/>
      <w:pPr>
        <w:ind w:left="0" w:firstLine="400"/>
      </w:pPr>
      <w:rPr>
        <w:rFonts w:hint="default"/>
      </w:rPr>
    </w:lvl>
  </w:abstractNum>
  <w:abstractNum w:abstractNumId="2">
    <w:nsid w:val="8A971587"/>
    <w:multiLevelType w:val="singleLevel"/>
    <w:tmpl w:val="8A971587"/>
    <w:lvl w:ilvl="0" w:tentative="0">
      <w:start w:val="1"/>
      <w:numFmt w:val="decimal"/>
      <w:suff w:val="nothing"/>
      <w:lvlText w:val="%1．"/>
      <w:lvlJc w:val="left"/>
      <w:pPr>
        <w:ind w:left="0" w:firstLine="400"/>
      </w:pPr>
      <w:rPr>
        <w:rFonts w:hint="default"/>
      </w:rPr>
    </w:lvl>
  </w:abstractNum>
  <w:abstractNum w:abstractNumId="3">
    <w:nsid w:val="9780D570"/>
    <w:multiLevelType w:val="singleLevel"/>
    <w:tmpl w:val="9780D570"/>
    <w:lvl w:ilvl="0" w:tentative="0">
      <w:start w:val="1"/>
      <w:numFmt w:val="decimal"/>
      <w:suff w:val="nothing"/>
      <w:lvlText w:val="%1．"/>
      <w:lvlJc w:val="left"/>
      <w:pPr>
        <w:ind w:left="0" w:firstLine="400"/>
      </w:pPr>
      <w:rPr>
        <w:rFonts w:hint="default"/>
      </w:rPr>
    </w:lvl>
  </w:abstractNum>
  <w:abstractNum w:abstractNumId="4">
    <w:nsid w:val="AEF1AA36"/>
    <w:multiLevelType w:val="singleLevel"/>
    <w:tmpl w:val="AEF1AA36"/>
    <w:lvl w:ilvl="0" w:tentative="0">
      <w:start w:val="1"/>
      <w:numFmt w:val="decimal"/>
      <w:suff w:val="nothing"/>
      <w:lvlText w:val="%1．"/>
      <w:lvlJc w:val="left"/>
      <w:pPr>
        <w:ind w:left="0" w:firstLine="400"/>
      </w:pPr>
      <w:rPr>
        <w:rFonts w:hint="default"/>
      </w:rPr>
    </w:lvl>
  </w:abstractNum>
  <w:abstractNum w:abstractNumId="5">
    <w:nsid w:val="00000039"/>
    <w:multiLevelType w:val="multilevel"/>
    <w:tmpl w:val="00000039"/>
    <w:lvl w:ilvl="0" w:tentative="0">
      <w:start w:val="1"/>
      <w:numFmt w:val="decimal"/>
      <w:lvlText w:val="（%1）"/>
      <w:lvlJc w:val="left"/>
      <w:pPr>
        <w:tabs>
          <w:tab w:val="left" w:pos="420"/>
        </w:tabs>
        <w:ind w:left="420" w:hanging="420"/>
      </w:pPr>
      <w:rPr>
        <w:rFonts w:hint="eastAsia" w:ascii="楷体_GB2312" w:eastAsia="楷体_GB2312"/>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60"/>
        </w:tabs>
        <w:ind w:left="1260" w:hanging="420"/>
      </w:pPr>
      <w:rPr>
        <w:rFonts w:hint="eastAsia"/>
        <w:b w:val="0"/>
        <w:i w:val="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41"/>
    <w:multiLevelType w:val="multilevel"/>
    <w:tmpl w:val="00000041"/>
    <w:lvl w:ilvl="0" w:tentative="0">
      <w:start w:val="1"/>
      <w:numFmt w:val="decimal"/>
      <w:lvlText w:val="%1)"/>
      <w:lvlJc w:val="left"/>
      <w:pPr>
        <w:tabs>
          <w:tab w:val="left" w:pos="780"/>
        </w:tabs>
        <w:ind w:left="780" w:hanging="420"/>
      </w:pPr>
      <w:rPr>
        <w:rFonts w:hint="eastAsia" w:ascii="楷体_GB2312" w:hAnsi="Tahoma" w:eastAsia="楷体_GB2312" w:cs="Tahoma"/>
        <w:b w:val="0"/>
      </w:rPr>
    </w:lvl>
    <w:lvl w:ilvl="1" w:tentative="0">
      <w:start w:val="1"/>
      <w:numFmt w:val="lowerLetter"/>
      <w:lvlText w:val="%2)"/>
      <w:lvlJc w:val="left"/>
      <w:pPr>
        <w:tabs>
          <w:tab w:val="left" w:pos="840"/>
        </w:tabs>
        <w:ind w:left="840" w:hanging="420"/>
      </w:pPr>
      <w:rPr>
        <w:b w:val="0"/>
      </w:rPr>
    </w:lvl>
    <w:lvl w:ilvl="2" w:tentative="0">
      <w:start w:val="1"/>
      <w:numFmt w:val="chineseCountingThousand"/>
      <w:lvlText w:val="(%3)"/>
      <w:lvlJc w:val="left"/>
      <w:pPr>
        <w:tabs>
          <w:tab w:val="left" w:pos="600"/>
        </w:tabs>
        <w:ind w:left="600" w:hanging="420"/>
      </w:pPr>
      <w:rPr>
        <w:rFonts w:hint="eastAsia"/>
        <w:b w:val="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E4487C0"/>
    <w:multiLevelType w:val="singleLevel"/>
    <w:tmpl w:val="0E4487C0"/>
    <w:lvl w:ilvl="0" w:tentative="0">
      <w:start w:val="1"/>
      <w:numFmt w:val="decimalEnclosedCircleChinese"/>
      <w:suff w:val="nothing"/>
      <w:lvlText w:val="%1　"/>
      <w:lvlJc w:val="left"/>
      <w:pPr>
        <w:ind w:left="0" w:firstLine="400"/>
      </w:pPr>
      <w:rPr>
        <w:rFonts w:hint="eastAsia"/>
      </w:rPr>
    </w:lvl>
  </w:abstractNum>
  <w:abstractNum w:abstractNumId="8">
    <w:nsid w:val="17501AC2"/>
    <w:multiLevelType w:val="singleLevel"/>
    <w:tmpl w:val="17501AC2"/>
    <w:lvl w:ilvl="0" w:tentative="0">
      <w:start w:val="1"/>
      <w:numFmt w:val="decimalEnclosedCircleChinese"/>
      <w:suff w:val="nothing"/>
      <w:lvlText w:val="%1　"/>
      <w:lvlJc w:val="left"/>
      <w:pPr>
        <w:ind w:left="0" w:firstLine="400"/>
      </w:pPr>
      <w:rPr>
        <w:rFonts w:hint="eastAsia"/>
      </w:rPr>
    </w:lvl>
  </w:abstractNum>
  <w:abstractNum w:abstractNumId="9">
    <w:nsid w:val="3380FA00"/>
    <w:multiLevelType w:val="singleLevel"/>
    <w:tmpl w:val="3380FA00"/>
    <w:lvl w:ilvl="0" w:tentative="0">
      <w:start w:val="1"/>
      <w:numFmt w:val="decimal"/>
      <w:suff w:val="nothing"/>
      <w:lvlText w:val="%1）"/>
      <w:lvlJc w:val="left"/>
    </w:lvl>
  </w:abstractNum>
  <w:abstractNum w:abstractNumId="10">
    <w:nsid w:val="46B2F6CA"/>
    <w:multiLevelType w:val="singleLevel"/>
    <w:tmpl w:val="46B2F6CA"/>
    <w:lvl w:ilvl="0" w:tentative="0">
      <w:start w:val="1"/>
      <w:numFmt w:val="decimal"/>
      <w:suff w:val="nothing"/>
      <w:lvlText w:val="%1．"/>
      <w:lvlJc w:val="left"/>
      <w:pPr>
        <w:ind w:left="0" w:firstLine="400"/>
      </w:pPr>
      <w:rPr>
        <w:rFonts w:hint="default"/>
      </w:rPr>
    </w:lvl>
  </w:abstractNum>
  <w:abstractNum w:abstractNumId="11">
    <w:nsid w:val="57481DA1"/>
    <w:multiLevelType w:val="singleLevel"/>
    <w:tmpl w:val="57481DA1"/>
    <w:lvl w:ilvl="0" w:tentative="0">
      <w:start w:val="1"/>
      <w:numFmt w:val="chineseCounting"/>
      <w:suff w:val="nothing"/>
      <w:lvlText w:val="%1、"/>
      <w:lvlJc w:val="left"/>
      <w:pPr>
        <w:ind w:left="0" w:firstLine="420"/>
      </w:pPr>
      <w:rPr>
        <w:rFonts w:hint="eastAsia"/>
      </w:rPr>
    </w:lvl>
  </w:abstractNum>
  <w:abstractNum w:abstractNumId="12">
    <w:nsid w:val="5A1B912C"/>
    <w:multiLevelType w:val="singleLevel"/>
    <w:tmpl w:val="5A1B912C"/>
    <w:lvl w:ilvl="0" w:tentative="0">
      <w:start w:val="1"/>
      <w:numFmt w:val="decimalEnclosedCircleChinese"/>
      <w:suff w:val="nothing"/>
      <w:lvlText w:val="%1　"/>
      <w:lvlJc w:val="left"/>
      <w:pPr>
        <w:ind w:left="0" w:firstLine="400"/>
      </w:pPr>
      <w:rPr>
        <w:rFonts w:hint="eastAsia"/>
      </w:rPr>
    </w:lvl>
  </w:abstractNum>
  <w:abstractNum w:abstractNumId="13">
    <w:nsid w:val="7641CACD"/>
    <w:multiLevelType w:val="singleLevel"/>
    <w:tmpl w:val="7641CACD"/>
    <w:lvl w:ilvl="0" w:tentative="0">
      <w:start w:val="2"/>
      <w:numFmt w:val="decimal"/>
      <w:suff w:val="nothing"/>
      <w:lvlText w:val="（%1）"/>
      <w:lvlJc w:val="left"/>
      <w:rPr>
        <w:b/>
      </w:rPr>
    </w:lvl>
  </w:abstractNum>
  <w:num w:numId="1">
    <w:abstractNumId w:val="13"/>
  </w:num>
  <w:num w:numId="2">
    <w:abstractNumId w:val="6"/>
  </w:num>
  <w:num w:numId="3">
    <w:abstractNumId w:val="7"/>
  </w:num>
  <w:num w:numId="4">
    <w:abstractNumId w:val="5"/>
  </w:num>
  <w:num w:numId="5">
    <w:abstractNumId w:val="12"/>
  </w:num>
  <w:num w:numId="6">
    <w:abstractNumId w:val="9"/>
  </w:num>
  <w:num w:numId="7">
    <w:abstractNumId w:val="11"/>
    <w:lvlOverride w:ilvl="0">
      <w:startOverride w:val="1"/>
    </w:lvlOverride>
  </w:num>
  <w:num w:numId="8">
    <w:abstractNumId w:val="0"/>
  </w:num>
  <w:num w:numId="9">
    <w:abstractNumId w:val="3"/>
  </w:num>
  <w:num w:numId="10">
    <w:abstractNumId w:val="1"/>
  </w:num>
  <w:num w:numId="11">
    <w:abstractNumId w:val="4"/>
  </w:num>
  <w:num w:numId="12">
    <w:abstractNumId w:val="10"/>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3D0E74"/>
    <w:rsid w:val="000220CA"/>
    <w:rsid w:val="00214070"/>
    <w:rsid w:val="00261878"/>
    <w:rsid w:val="00290153"/>
    <w:rsid w:val="003C5D6D"/>
    <w:rsid w:val="003D0E74"/>
    <w:rsid w:val="00673DF3"/>
    <w:rsid w:val="00852008"/>
    <w:rsid w:val="00A17466"/>
    <w:rsid w:val="00C85B8D"/>
    <w:rsid w:val="01245472"/>
    <w:rsid w:val="01BE7E04"/>
    <w:rsid w:val="021B568A"/>
    <w:rsid w:val="030C017A"/>
    <w:rsid w:val="033C20F3"/>
    <w:rsid w:val="04275ABA"/>
    <w:rsid w:val="046E072D"/>
    <w:rsid w:val="065A5D3B"/>
    <w:rsid w:val="068154EF"/>
    <w:rsid w:val="06D66953"/>
    <w:rsid w:val="06E23CE3"/>
    <w:rsid w:val="078D0774"/>
    <w:rsid w:val="07D15D32"/>
    <w:rsid w:val="07DD3BBB"/>
    <w:rsid w:val="07F2003D"/>
    <w:rsid w:val="08654DB5"/>
    <w:rsid w:val="095437B6"/>
    <w:rsid w:val="09885D9B"/>
    <w:rsid w:val="0A356616"/>
    <w:rsid w:val="0AF84745"/>
    <w:rsid w:val="0B234FDB"/>
    <w:rsid w:val="0B8A3359"/>
    <w:rsid w:val="0BB1013A"/>
    <w:rsid w:val="0BC829C4"/>
    <w:rsid w:val="0BFC277F"/>
    <w:rsid w:val="0C5B016C"/>
    <w:rsid w:val="0C600EBF"/>
    <w:rsid w:val="0D136E41"/>
    <w:rsid w:val="0D892AC2"/>
    <w:rsid w:val="0D9E5FA8"/>
    <w:rsid w:val="0DE13B50"/>
    <w:rsid w:val="0E215936"/>
    <w:rsid w:val="0EF44384"/>
    <w:rsid w:val="0F342018"/>
    <w:rsid w:val="0F5B5D0F"/>
    <w:rsid w:val="10640EFB"/>
    <w:rsid w:val="10855BDB"/>
    <w:rsid w:val="10950FAE"/>
    <w:rsid w:val="10CC0E8E"/>
    <w:rsid w:val="10DC3F25"/>
    <w:rsid w:val="11FF2D51"/>
    <w:rsid w:val="12F04814"/>
    <w:rsid w:val="13165D04"/>
    <w:rsid w:val="136F05CC"/>
    <w:rsid w:val="13AA26D3"/>
    <w:rsid w:val="14AE6F6D"/>
    <w:rsid w:val="14F5170D"/>
    <w:rsid w:val="159E329B"/>
    <w:rsid w:val="16254A61"/>
    <w:rsid w:val="16E65F46"/>
    <w:rsid w:val="18C235A3"/>
    <w:rsid w:val="19BB60BD"/>
    <w:rsid w:val="19D158B6"/>
    <w:rsid w:val="1A4221AD"/>
    <w:rsid w:val="1AEA3365"/>
    <w:rsid w:val="1B1C6F45"/>
    <w:rsid w:val="1B255414"/>
    <w:rsid w:val="1C0D4CD7"/>
    <w:rsid w:val="1C170349"/>
    <w:rsid w:val="1C473449"/>
    <w:rsid w:val="1CD32CF2"/>
    <w:rsid w:val="1D813C80"/>
    <w:rsid w:val="1E266946"/>
    <w:rsid w:val="1F656BC0"/>
    <w:rsid w:val="1FC55DBE"/>
    <w:rsid w:val="208608C1"/>
    <w:rsid w:val="20D446A2"/>
    <w:rsid w:val="2190365E"/>
    <w:rsid w:val="220E687B"/>
    <w:rsid w:val="22AE3822"/>
    <w:rsid w:val="23256428"/>
    <w:rsid w:val="23473AF5"/>
    <w:rsid w:val="250453BE"/>
    <w:rsid w:val="255317A3"/>
    <w:rsid w:val="25614631"/>
    <w:rsid w:val="26B32870"/>
    <w:rsid w:val="26E90325"/>
    <w:rsid w:val="27C04BE3"/>
    <w:rsid w:val="27D0342A"/>
    <w:rsid w:val="27EB7D54"/>
    <w:rsid w:val="290E5BE2"/>
    <w:rsid w:val="2976597E"/>
    <w:rsid w:val="29A547A1"/>
    <w:rsid w:val="2A7E46F7"/>
    <w:rsid w:val="2A884BD1"/>
    <w:rsid w:val="2A9F1C41"/>
    <w:rsid w:val="2AC30091"/>
    <w:rsid w:val="2ACD18AF"/>
    <w:rsid w:val="2BF53CA3"/>
    <w:rsid w:val="2C1D7BBC"/>
    <w:rsid w:val="2C5330B6"/>
    <w:rsid w:val="2C6D3099"/>
    <w:rsid w:val="2D2229F0"/>
    <w:rsid w:val="2D333DC9"/>
    <w:rsid w:val="2D613355"/>
    <w:rsid w:val="2D785779"/>
    <w:rsid w:val="2DFD28ED"/>
    <w:rsid w:val="2EC3289D"/>
    <w:rsid w:val="2F521A0D"/>
    <w:rsid w:val="2FAF45CB"/>
    <w:rsid w:val="2FB27C17"/>
    <w:rsid w:val="307D5A94"/>
    <w:rsid w:val="30AE744F"/>
    <w:rsid w:val="32510D6C"/>
    <w:rsid w:val="326C21C7"/>
    <w:rsid w:val="331D645F"/>
    <w:rsid w:val="342A33FE"/>
    <w:rsid w:val="34431A13"/>
    <w:rsid w:val="34AB1287"/>
    <w:rsid w:val="354C1AA5"/>
    <w:rsid w:val="357C189A"/>
    <w:rsid w:val="35B77763"/>
    <w:rsid w:val="362F4368"/>
    <w:rsid w:val="367613B7"/>
    <w:rsid w:val="3793297C"/>
    <w:rsid w:val="38077679"/>
    <w:rsid w:val="38BD6B4F"/>
    <w:rsid w:val="39C223D7"/>
    <w:rsid w:val="3AC15774"/>
    <w:rsid w:val="3B927489"/>
    <w:rsid w:val="3BCB486B"/>
    <w:rsid w:val="3BDD55D8"/>
    <w:rsid w:val="3C0B4296"/>
    <w:rsid w:val="3D4634DB"/>
    <w:rsid w:val="3E7767AB"/>
    <w:rsid w:val="3F152CB6"/>
    <w:rsid w:val="3F8F34BE"/>
    <w:rsid w:val="3FF34060"/>
    <w:rsid w:val="3FFB532F"/>
    <w:rsid w:val="405373A7"/>
    <w:rsid w:val="40AF6CF8"/>
    <w:rsid w:val="41674CF9"/>
    <w:rsid w:val="41CC63D8"/>
    <w:rsid w:val="43642937"/>
    <w:rsid w:val="43802B3B"/>
    <w:rsid w:val="44D01E4F"/>
    <w:rsid w:val="450331CB"/>
    <w:rsid w:val="45A629D7"/>
    <w:rsid w:val="46A41C10"/>
    <w:rsid w:val="46A90083"/>
    <w:rsid w:val="46B17D59"/>
    <w:rsid w:val="46B41C1C"/>
    <w:rsid w:val="485F7DC7"/>
    <w:rsid w:val="4947632A"/>
    <w:rsid w:val="4A193B6D"/>
    <w:rsid w:val="4A4D2D15"/>
    <w:rsid w:val="4A7610F1"/>
    <w:rsid w:val="4AED54C8"/>
    <w:rsid w:val="4BB84847"/>
    <w:rsid w:val="4BE8259F"/>
    <w:rsid w:val="4BF50A61"/>
    <w:rsid w:val="4D2A3371"/>
    <w:rsid w:val="4DC5749E"/>
    <w:rsid w:val="4DEC34C0"/>
    <w:rsid w:val="4E233009"/>
    <w:rsid w:val="4F7C40AB"/>
    <w:rsid w:val="4FAC51F7"/>
    <w:rsid w:val="514D7B98"/>
    <w:rsid w:val="51861437"/>
    <w:rsid w:val="52C37623"/>
    <w:rsid w:val="535A394A"/>
    <w:rsid w:val="5426635A"/>
    <w:rsid w:val="552A3FF3"/>
    <w:rsid w:val="553B6237"/>
    <w:rsid w:val="56186177"/>
    <w:rsid w:val="56E573CB"/>
    <w:rsid w:val="572440FC"/>
    <w:rsid w:val="582030A8"/>
    <w:rsid w:val="585D37A6"/>
    <w:rsid w:val="58745418"/>
    <w:rsid w:val="58913FAE"/>
    <w:rsid w:val="58997701"/>
    <w:rsid w:val="58E31FE4"/>
    <w:rsid w:val="58F52699"/>
    <w:rsid w:val="59D01A7F"/>
    <w:rsid w:val="59D802EC"/>
    <w:rsid w:val="59FE1985"/>
    <w:rsid w:val="5A4872D2"/>
    <w:rsid w:val="5AC567C3"/>
    <w:rsid w:val="5AD36B10"/>
    <w:rsid w:val="5B041BCF"/>
    <w:rsid w:val="5B361442"/>
    <w:rsid w:val="5B7C0DBF"/>
    <w:rsid w:val="5C3533CC"/>
    <w:rsid w:val="5C524CBC"/>
    <w:rsid w:val="5C6519E1"/>
    <w:rsid w:val="5CA82D62"/>
    <w:rsid w:val="5DF30E44"/>
    <w:rsid w:val="5E040D28"/>
    <w:rsid w:val="5E2F697B"/>
    <w:rsid w:val="5F871FEB"/>
    <w:rsid w:val="5FA26232"/>
    <w:rsid w:val="5FF5035E"/>
    <w:rsid w:val="603C3A56"/>
    <w:rsid w:val="60EC4243"/>
    <w:rsid w:val="618172C6"/>
    <w:rsid w:val="621213E3"/>
    <w:rsid w:val="622C4D7A"/>
    <w:rsid w:val="6249466A"/>
    <w:rsid w:val="62B00BD6"/>
    <w:rsid w:val="63141809"/>
    <w:rsid w:val="634016E4"/>
    <w:rsid w:val="646E572C"/>
    <w:rsid w:val="64B30FCA"/>
    <w:rsid w:val="64C86FBA"/>
    <w:rsid w:val="64CA16A8"/>
    <w:rsid w:val="65AD704F"/>
    <w:rsid w:val="65C43C25"/>
    <w:rsid w:val="65E10B1A"/>
    <w:rsid w:val="66623CD3"/>
    <w:rsid w:val="67676E09"/>
    <w:rsid w:val="678825F0"/>
    <w:rsid w:val="68525518"/>
    <w:rsid w:val="698A7F9B"/>
    <w:rsid w:val="6A2F02A7"/>
    <w:rsid w:val="6A891B7D"/>
    <w:rsid w:val="6AB64B70"/>
    <w:rsid w:val="6BE50451"/>
    <w:rsid w:val="6CCD25E3"/>
    <w:rsid w:val="6DD056DF"/>
    <w:rsid w:val="6E1119D2"/>
    <w:rsid w:val="6F415EB0"/>
    <w:rsid w:val="6F525231"/>
    <w:rsid w:val="71166FD6"/>
    <w:rsid w:val="72B6712F"/>
    <w:rsid w:val="736D08A8"/>
    <w:rsid w:val="73B70621"/>
    <w:rsid w:val="73B76A1D"/>
    <w:rsid w:val="73EF6F5E"/>
    <w:rsid w:val="748C1DB2"/>
    <w:rsid w:val="748D3FC4"/>
    <w:rsid w:val="74C87402"/>
    <w:rsid w:val="750A6CF9"/>
    <w:rsid w:val="75A81516"/>
    <w:rsid w:val="76000D5F"/>
    <w:rsid w:val="762941E6"/>
    <w:rsid w:val="7842267B"/>
    <w:rsid w:val="785A3DFC"/>
    <w:rsid w:val="78806CC2"/>
    <w:rsid w:val="798E2E18"/>
    <w:rsid w:val="7A253E5D"/>
    <w:rsid w:val="7AC57348"/>
    <w:rsid w:val="7B7C575B"/>
    <w:rsid w:val="7B853B4A"/>
    <w:rsid w:val="7BC6109E"/>
    <w:rsid w:val="7CBC3A64"/>
    <w:rsid w:val="7D324059"/>
    <w:rsid w:val="7D641AA2"/>
    <w:rsid w:val="7ED57D0B"/>
    <w:rsid w:val="7EDC22EA"/>
    <w:rsid w:val="7EE1505B"/>
    <w:rsid w:val="7EE22BD9"/>
    <w:rsid w:val="7EFB6737"/>
    <w:rsid w:val="7FC22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jc w:val="center"/>
      <w:outlineLvl w:val="0"/>
    </w:pPr>
    <w:rPr>
      <w:rFonts w:ascii="Calibri" w:eastAsia="Calibri"/>
      <w:b/>
      <w:bCs/>
    </w:rPr>
  </w:style>
  <w:style w:type="paragraph" w:styleId="4">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paragraph" w:styleId="6">
    <w:name w:val="heading 5"/>
    <w:basedOn w:val="1"/>
    <w:next w:val="1"/>
    <w:qFormat/>
    <w:uiPriority w:val="0"/>
    <w:pPr>
      <w:keepNext/>
      <w:keepLines/>
      <w:spacing w:before="280" w:after="290" w:line="372" w:lineRule="auto"/>
      <w:outlineLvl w:val="4"/>
    </w:pPr>
    <w:rPr>
      <w:rFonts w:ascii="仿宋_GB2312" w:hAnsi="Tahoma"/>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rPr>
      <w:rFonts w:eastAsia="Cambria"/>
    </w:rPr>
  </w:style>
  <w:style w:type="paragraph" w:styleId="7">
    <w:name w:val="Normal Indent"/>
    <w:basedOn w:val="1"/>
    <w:qFormat/>
    <w:uiPriority w:val="0"/>
    <w:pPr>
      <w:adjustRightInd w:val="0"/>
      <w:spacing w:line="312" w:lineRule="atLeast"/>
      <w:ind w:firstLine="420"/>
      <w:textAlignment w:val="baseline"/>
    </w:pPr>
    <w:rPr>
      <w:rFonts w:eastAsia="Cambria"/>
      <w:kern w:val="0"/>
      <w:szCs w:val="20"/>
    </w:rPr>
  </w:style>
  <w:style w:type="paragraph" w:styleId="8">
    <w:name w:val="annotation text"/>
    <w:basedOn w:val="1"/>
    <w:qFormat/>
    <w:uiPriority w:val="0"/>
    <w:pPr>
      <w:jc w:val="left"/>
    </w:pPr>
  </w:style>
  <w:style w:type="paragraph" w:styleId="9">
    <w:name w:val="toc 3"/>
    <w:basedOn w:val="1"/>
    <w:next w:val="1"/>
    <w:qFormat/>
    <w:uiPriority w:val="0"/>
    <w:pPr>
      <w:ind w:left="840" w:leftChars="400"/>
    </w:pPr>
  </w:style>
  <w:style w:type="paragraph" w:styleId="10">
    <w:name w:val="Plain Text"/>
    <w:basedOn w:val="1"/>
    <w:next w:val="1"/>
    <w:qFormat/>
    <w:uiPriority w:val="0"/>
    <w:pPr>
      <w:widowControl/>
      <w:overflowPunct w:val="0"/>
      <w:autoSpaceDE w:val="0"/>
      <w:autoSpaceDN w:val="0"/>
      <w:adjustRightInd w:val="0"/>
      <w:jc w:val="left"/>
      <w:textAlignment w:val="baseline"/>
    </w:pPr>
    <w:rPr>
      <w:rFonts w:ascii="Cambria" w:hAnsi="隶书" w:eastAsia="Cambria"/>
      <w:kern w:val="0"/>
      <w:szCs w:val="21"/>
    </w:rPr>
  </w:style>
  <w:style w:type="paragraph" w:styleId="11">
    <w:name w:val="footer"/>
    <w:basedOn w:val="1"/>
    <w:qFormat/>
    <w:uiPriority w:val="0"/>
    <w:pPr>
      <w:tabs>
        <w:tab w:val="center" w:pos="4153"/>
        <w:tab w:val="right" w:pos="8306"/>
      </w:tabs>
      <w:snapToGrid w:val="0"/>
      <w:jc w:val="left"/>
    </w:pPr>
    <w:rPr>
      <w:rFonts w:eastAsia="Cambria"/>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rFonts w:eastAsia="Cambria"/>
      <w:sz w:val="18"/>
      <w:szCs w:val="18"/>
    </w:rPr>
  </w:style>
  <w:style w:type="paragraph" w:styleId="13">
    <w:name w:val="toc 1"/>
    <w:basedOn w:val="1"/>
    <w:next w:val="1"/>
    <w:qFormat/>
    <w:uiPriority w:val="39"/>
    <w:pPr>
      <w:tabs>
        <w:tab w:val="right" w:leader="dot" w:pos="9628"/>
      </w:tabs>
      <w:spacing w:line="480" w:lineRule="auto"/>
    </w:pPr>
    <w:rPr>
      <w:rFonts w:ascii="Courier New" w:hAnsi="Courier New" w:eastAsia="仿宋_GB2312" w:cs="Courier New"/>
      <w:bCs/>
      <w:sz w:val="24"/>
    </w:rPr>
  </w:style>
  <w:style w:type="paragraph" w:styleId="14">
    <w:name w:val="toc 6"/>
    <w:basedOn w:val="1"/>
    <w:next w:val="1"/>
    <w:qFormat/>
    <w:uiPriority w:val="0"/>
    <w:pPr>
      <w:autoSpaceDE w:val="0"/>
      <w:autoSpaceDN w:val="0"/>
      <w:adjustRightInd w:val="0"/>
      <w:ind w:left="2100" w:leftChars="1000"/>
      <w:jc w:val="left"/>
    </w:pPr>
    <w:rPr>
      <w:kern w:val="0"/>
      <w:sz w:val="20"/>
      <w:szCs w:val="20"/>
    </w:rPr>
  </w:style>
  <w:style w:type="paragraph" w:styleId="15">
    <w:name w:val="toc 2"/>
    <w:basedOn w:val="1"/>
    <w:next w:val="1"/>
    <w:qFormat/>
    <w:uiPriority w:val="0"/>
    <w:pPr>
      <w:ind w:left="420" w:leftChars="200"/>
    </w:pPr>
  </w:style>
  <w:style w:type="paragraph" w:styleId="16">
    <w:name w:val="Normal (Web)"/>
    <w:basedOn w:val="1"/>
    <w:qFormat/>
    <w:uiPriority w:val="0"/>
    <w:pPr>
      <w:widowControl/>
      <w:spacing w:before="100" w:beforeAutospacing="1" w:after="100" w:afterAutospacing="1"/>
      <w:jc w:val="left"/>
    </w:pPr>
    <w:rPr>
      <w:rFonts w:ascii="Cambria" w:hAnsi="Cambria" w:cs="Cambria"/>
      <w:kern w:val="0"/>
      <w:sz w:val="24"/>
    </w:rPr>
  </w:style>
  <w:style w:type="paragraph" w:styleId="17">
    <w:name w:val="Body Text First Indent"/>
    <w:basedOn w:val="2"/>
    <w:next w:val="14"/>
    <w:qFormat/>
    <w:uiPriority w:val="0"/>
    <w:pPr>
      <w:autoSpaceDE w:val="0"/>
      <w:autoSpaceDN w:val="0"/>
      <w:adjustRightInd w:val="0"/>
      <w:ind w:firstLine="420" w:firstLineChars="100"/>
      <w:jc w:val="left"/>
    </w:pPr>
    <w:rPr>
      <w:kern w:val="0"/>
      <w:sz w:val="20"/>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bCs/>
    </w:rPr>
  </w:style>
  <w:style w:type="character" w:styleId="22">
    <w:name w:val="Hyperlink"/>
    <w:qFormat/>
    <w:uiPriority w:val="99"/>
    <w:rPr>
      <w:color w:val="000000"/>
      <w:sz w:val="20"/>
      <w:szCs w:val="20"/>
      <w:u w:val="none"/>
    </w:rPr>
  </w:style>
  <w:style w:type="character" w:styleId="23">
    <w:name w:val="annotation reference"/>
    <w:basedOn w:val="20"/>
    <w:qFormat/>
    <w:uiPriority w:val="0"/>
    <w:rPr>
      <w:sz w:val="21"/>
      <w:szCs w:val="21"/>
    </w:rPr>
  </w:style>
  <w:style w:type="paragraph" w:customStyle="1" w:styleId="24">
    <w:name w:val="xl35"/>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Tahoma" w:hAnsi="Tahoma" w:eastAsia="Tahoma"/>
      <w:kern w:val="0"/>
      <w:szCs w:val="22"/>
    </w:rPr>
  </w:style>
  <w:style w:type="paragraph" w:customStyle="1" w:styleId="25">
    <w:name w:val="样式1"/>
    <w:basedOn w:val="1"/>
    <w:qFormat/>
    <w:uiPriority w:val="0"/>
    <w:rPr>
      <w:b/>
      <w:color w:val="538135"/>
      <w:sz w:val="28"/>
    </w:rPr>
  </w:style>
  <w:style w:type="character" w:customStyle="1" w:styleId="26">
    <w:name w:val="font01"/>
    <w:basedOn w:val="20"/>
    <w:qFormat/>
    <w:uiPriority w:val="0"/>
    <w:rPr>
      <w:rFonts w:hint="eastAsia" w:ascii="宋体" w:hAnsi="宋体" w:eastAsia="宋体" w:cs="宋体"/>
      <w:color w:val="000000"/>
      <w:sz w:val="22"/>
      <w:szCs w:val="22"/>
      <w:u w:val="none"/>
    </w:rPr>
  </w:style>
  <w:style w:type="character" w:customStyle="1" w:styleId="27">
    <w:name w:val="NormalCharacter"/>
    <w:qFormat/>
    <w:uiPriority w:val="0"/>
  </w:style>
  <w:style w:type="paragraph" w:customStyle="1" w:styleId="28">
    <w:name w:val="BodyText1I"/>
    <w:basedOn w:val="29"/>
    <w:qFormat/>
    <w:uiPriority w:val="0"/>
    <w:pPr>
      <w:ind w:firstLine="420" w:firstLineChars="100"/>
      <w:jc w:val="left"/>
    </w:pPr>
    <w:rPr>
      <w:rFonts w:ascii="仿宋_GB2312" w:hAnsi="Times New Roman"/>
      <w:b/>
      <w:kern w:val="0"/>
      <w:sz w:val="32"/>
      <w:szCs w:val="32"/>
    </w:rPr>
  </w:style>
  <w:style w:type="paragraph" w:customStyle="1" w:styleId="29">
    <w:name w:val="BodyText"/>
    <w:basedOn w:val="1"/>
    <w:next w:val="28"/>
    <w:qFormat/>
    <w:uiPriority w:val="0"/>
    <w:pPr>
      <w:spacing w:after="120"/>
    </w:pPr>
    <w:rPr>
      <w:rFonts w:ascii="Tahoma" w:hAnsi="Tahoma"/>
    </w:rPr>
  </w:style>
  <w:style w:type="paragraph" w:customStyle="1" w:styleId="30">
    <w:name w:val="UserStyle_558"/>
    <w:basedOn w:val="29"/>
    <w:qFormat/>
    <w:uiPriority w:val="0"/>
    <w:pPr>
      <w:keepNext/>
      <w:spacing w:after="160"/>
    </w:pPr>
    <w:rPr>
      <w:rFonts w:ascii="仿宋_GB2312"/>
      <w:b/>
    </w:rPr>
  </w:style>
  <w:style w:type="paragraph" w:customStyle="1" w:styleId="31">
    <w:name w:val="PlainText"/>
    <w:basedOn w:val="1"/>
    <w:qFormat/>
    <w:uiPriority w:val="0"/>
    <w:rPr>
      <w:rFonts w:ascii="宋体" w:hAnsi="Courier New"/>
      <w:szCs w:val="20"/>
    </w:rPr>
  </w:style>
  <w:style w:type="paragraph" w:customStyle="1" w:styleId="32">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50</Pages>
  <Words>25248</Words>
  <Characters>26471</Characters>
  <Lines>219</Lines>
  <Paragraphs>61</Paragraphs>
  <TotalTime>25</TotalTime>
  <ScaleCrop>false</ScaleCrop>
  <LinksUpToDate>false</LinksUpToDate>
  <CharactersWithSpaces>28419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2022-04-14T02:53:00Z</dcterms:created>
  <dc:creator>Administrator</dc:creator>
  <cp:lastModifiedBy>小杰</cp:lastModifiedBy>
  <cp:lastPrinted>2022-09-27T03:05:00Z</cp:lastPrinted>
  <dcterms:modified xsi:type="dcterms:W3CDTF">2023-07-19T01:22:11Z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1334502901CF42DC87C96455C6769E8B</vt:lpwstr>
  </property>
</Properties>
</file>